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F3BD847">
      <w:pPr>
        <w:pStyle w:val="38"/>
        <w:topLinePunct/>
        <w:snapToGrid w:val="0"/>
        <w:spacing w:line="640" w:lineRule="exact"/>
        <w:ind w:firstLine="0" w:firstLineChars="0"/>
        <w:jc w:val="center"/>
        <w:rPr>
          <w:rFonts w:ascii="黑体" w:hAnsi="黑体" w:eastAsia="黑体" w:cs="方正小标宋简体"/>
          <w:bCs/>
          <w:sz w:val="36"/>
          <w:szCs w:val="36"/>
          <w:lang w:eastAsia="zh-CN"/>
        </w:rPr>
      </w:pPr>
    </w:p>
    <w:p w14:paraId="17B40989">
      <w:pPr>
        <w:pStyle w:val="38"/>
        <w:topLinePunct/>
        <w:snapToGrid w:val="0"/>
        <w:spacing w:line="640" w:lineRule="exact"/>
        <w:ind w:firstLine="0" w:firstLineChars="0"/>
        <w:rPr>
          <w:rFonts w:ascii="黑体" w:hAnsi="黑体" w:eastAsia="黑体" w:cs="方正小标宋简体"/>
          <w:bCs/>
          <w:sz w:val="36"/>
          <w:szCs w:val="36"/>
          <w:lang w:eastAsia="zh-CN"/>
        </w:rPr>
      </w:pPr>
    </w:p>
    <w:p w14:paraId="7BB30276">
      <w:pPr>
        <w:pStyle w:val="38"/>
        <w:topLinePunct/>
        <w:snapToGrid w:val="0"/>
        <w:spacing w:after="240" w:line="640" w:lineRule="exact"/>
        <w:ind w:firstLine="0" w:firstLineChars="0"/>
        <w:jc w:val="center"/>
        <w:rPr>
          <w:rFonts w:ascii="方正小标宋简体" w:hAnsi="黑体" w:eastAsia="方正小标宋简体" w:cs="方正小标宋简体"/>
          <w:b w:val="0"/>
          <w:bCs/>
          <w:sz w:val="40"/>
          <w:szCs w:val="44"/>
          <w:lang w:eastAsia="zh-CN"/>
        </w:rPr>
      </w:pPr>
    </w:p>
    <w:p w14:paraId="51CBCF3C">
      <w:pPr>
        <w:pStyle w:val="38"/>
        <w:topLinePunct/>
        <w:snapToGrid w:val="0"/>
        <w:spacing w:after="240" w:line="640" w:lineRule="exact"/>
        <w:ind w:firstLine="0" w:firstLineChars="0"/>
        <w:jc w:val="center"/>
        <w:rPr>
          <w:rFonts w:ascii="方正小标宋简体" w:hAnsi="黑体" w:eastAsia="方正小标宋简体" w:cs="方正小标宋简体"/>
          <w:b w:val="0"/>
          <w:bCs/>
          <w:sz w:val="40"/>
          <w:szCs w:val="44"/>
          <w:lang w:eastAsia="zh-CN"/>
        </w:rPr>
      </w:pPr>
      <w:r>
        <w:rPr>
          <w:rFonts w:hint="eastAsia" w:ascii="方正小标宋简体" w:hAnsi="黑体" w:eastAsia="方正小标宋简体" w:cs="方正小标宋简体"/>
          <w:b w:val="0"/>
          <w:bCs/>
          <w:sz w:val="40"/>
          <w:szCs w:val="44"/>
          <w:lang w:eastAsia="zh-CN"/>
        </w:rPr>
        <w:t>达茂联合旗国民经济和社会发展</w:t>
      </w:r>
    </w:p>
    <w:p w14:paraId="1AD600D4">
      <w:pPr>
        <w:pStyle w:val="38"/>
        <w:topLinePunct/>
        <w:snapToGrid w:val="0"/>
        <w:spacing w:after="240" w:line="640" w:lineRule="exact"/>
        <w:ind w:firstLine="0" w:firstLineChars="0"/>
        <w:jc w:val="center"/>
        <w:rPr>
          <w:rFonts w:ascii="方正小标宋简体" w:hAnsi="黑体" w:eastAsia="方正小标宋简体" w:cs="方正小标宋简体"/>
          <w:b w:val="0"/>
          <w:bCs/>
          <w:sz w:val="40"/>
          <w:szCs w:val="44"/>
          <w:lang w:eastAsia="zh-CN"/>
        </w:rPr>
      </w:pPr>
      <w:r>
        <w:rPr>
          <w:rFonts w:hint="eastAsia" w:ascii="方正小标宋简体" w:hAnsi="黑体" w:eastAsia="方正小标宋简体" w:cs="方正小标宋简体"/>
          <w:b w:val="0"/>
          <w:bCs/>
          <w:sz w:val="40"/>
          <w:szCs w:val="44"/>
          <w:lang w:eastAsia="zh-CN"/>
        </w:rPr>
        <w:t>第十四个五年规划和2035年远景目标纲要</w:t>
      </w:r>
    </w:p>
    <w:p w14:paraId="26DE6C32">
      <w:pPr>
        <w:pStyle w:val="38"/>
        <w:topLinePunct/>
        <w:snapToGrid w:val="0"/>
        <w:spacing w:line="640" w:lineRule="exact"/>
        <w:ind w:firstLine="0" w:firstLineChars="0"/>
        <w:jc w:val="center"/>
        <w:rPr>
          <w:rFonts w:ascii="黑体" w:hAnsi="黑体" w:eastAsia="黑体" w:cs="方正小标宋简体"/>
          <w:bCs/>
          <w:sz w:val="44"/>
          <w:szCs w:val="44"/>
          <w:lang w:eastAsia="zh-CN"/>
        </w:rPr>
      </w:pPr>
    </w:p>
    <w:p w14:paraId="7937FB26">
      <w:pPr>
        <w:pStyle w:val="38"/>
        <w:topLinePunct/>
        <w:snapToGrid w:val="0"/>
        <w:spacing w:line="640" w:lineRule="exact"/>
        <w:ind w:firstLine="0" w:firstLineChars="0"/>
        <w:jc w:val="center"/>
        <w:rPr>
          <w:rFonts w:ascii="黑体" w:hAnsi="黑体" w:eastAsia="黑体" w:cs="方正小标宋简体"/>
          <w:bCs/>
          <w:sz w:val="44"/>
          <w:szCs w:val="44"/>
          <w:lang w:eastAsia="zh-CN"/>
        </w:rPr>
      </w:pPr>
    </w:p>
    <w:p w14:paraId="7F7ADE9A">
      <w:pPr>
        <w:pStyle w:val="38"/>
        <w:topLinePunct/>
        <w:snapToGrid w:val="0"/>
        <w:spacing w:line="640" w:lineRule="exact"/>
        <w:ind w:firstLine="0" w:firstLineChars="0"/>
        <w:jc w:val="center"/>
        <w:rPr>
          <w:rFonts w:ascii="黑体" w:hAnsi="黑体" w:eastAsia="黑体" w:cs="方正小标宋简体"/>
          <w:bCs/>
          <w:sz w:val="44"/>
          <w:szCs w:val="44"/>
          <w:lang w:eastAsia="zh-CN"/>
        </w:rPr>
      </w:pPr>
    </w:p>
    <w:p w14:paraId="485F28BB">
      <w:pPr>
        <w:pStyle w:val="38"/>
        <w:topLinePunct/>
        <w:snapToGrid w:val="0"/>
        <w:spacing w:line="640" w:lineRule="exact"/>
        <w:ind w:firstLine="0" w:firstLineChars="0"/>
        <w:jc w:val="center"/>
        <w:rPr>
          <w:rFonts w:ascii="黑体" w:hAnsi="黑体" w:eastAsia="黑体" w:cs="方正小标宋简体"/>
          <w:bCs/>
          <w:sz w:val="44"/>
          <w:szCs w:val="44"/>
          <w:lang w:eastAsia="zh-CN"/>
        </w:rPr>
      </w:pPr>
    </w:p>
    <w:p w14:paraId="43F16E00">
      <w:pPr>
        <w:pStyle w:val="38"/>
        <w:topLinePunct/>
        <w:snapToGrid w:val="0"/>
        <w:spacing w:line="640" w:lineRule="exact"/>
        <w:ind w:firstLine="0" w:firstLineChars="0"/>
        <w:jc w:val="center"/>
        <w:rPr>
          <w:rFonts w:ascii="黑体" w:hAnsi="黑体" w:eastAsia="黑体" w:cs="方正小标宋简体"/>
          <w:bCs/>
          <w:sz w:val="44"/>
          <w:szCs w:val="44"/>
          <w:lang w:eastAsia="zh-CN"/>
        </w:rPr>
      </w:pPr>
    </w:p>
    <w:p w14:paraId="42A9A34E">
      <w:pPr>
        <w:pStyle w:val="38"/>
        <w:topLinePunct/>
        <w:snapToGrid w:val="0"/>
        <w:spacing w:line="640" w:lineRule="exact"/>
        <w:ind w:firstLine="0" w:firstLineChars="0"/>
        <w:jc w:val="center"/>
        <w:rPr>
          <w:rFonts w:ascii="黑体" w:hAnsi="黑体" w:eastAsia="黑体" w:cs="方正小标宋简体"/>
          <w:bCs/>
          <w:sz w:val="44"/>
          <w:szCs w:val="44"/>
          <w:lang w:eastAsia="zh-CN"/>
        </w:rPr>
      </w:pPr>
    </w:p>
    <w:p w14:paraId="6CFE5E9A">
      <w:pPr>
        <w:pStyle w:val="23"/>
        <w:spacing w:line="640" w:lineRule="exact"/>
        <w:ind w:firstLine="0" w:firstLineChars="0"/>
        <w:rPr>
          <w:rFonts w:ascii="黑体" w:hAnsi="黑体" w:eastAsia="黑体" w:cs="黑体"/>
          <w:kern w:val="2"/>
          <w:sz w:val="36"/>
          <w:szCs w:val="36"/>
        </w:rPr>
      </w:pPr>
    </w:p>
    <w:p w14:paraId="2157F3C7">
      <w:pPr>
        <w:pStyle w:val="23"/>
        <w:spacing w:line="640" w:lineRule="exact"/>
        <w:ind w:firstLine="0" w:firstLineChars="0"/>
        <w:jc w:val="center"/>
        <w:rPr>
          <w:rFonts w:ascii="黑体" w:hAnsi="黑体" w:eastAsia="黑体" w:cs="黑体"/>
          <w:b/>
          <w:kern w:val="2"/>
          <w:sz w:val="36"/>
          <w:szCs w:val="36"/>
        </w:rPr>
      </w:pPr>
    </w:p>
    <w:p w14:paraId="14F3667A">
      <w:pPr>
        <w:pStyle w:val="23"/>
        <w:spacing w:line="640" w:lineRule="exact"/>
        <w:ind w:firstLine="0" w:firstLineChars="0"/>
        <w:jc w:val="center"/>
        <w:rPr>
          <w:rFonts w:ascii="黑体" w:hAnsi="黑体" w:eastAsia="黑体" w:cs="黑体"/>
          <w:kern w:val="2"/>
          <w:szCs w:val="36"/>
        </w:rPr>
      </w:pPr>
    </w:p>
    <w:p w14:paraId="5B3CC858">
      <w:pPr>
        <w:pStyle w:val="23"/>
        <w:spacing w:line="640" w:lineRule="exact"/>
        <w:ind w:firstLine="0" w:firstLineChars="0"/>
        <w:jc w:val="center"/>
        <w:rPr>
          <w:rFonts w:ascii="黑体" w:hAnsi="黑体" w:eastAsia="黑体" w:cs="黑体"/>
          <w:kern w:val="2"/>
          <w:szCs w:val="36"/>
        </w:rPr>
      </w:pPr>
    </w:p>
    <w:p w14:paraId="51242D6E">
      <w:pPr>
        <w:pStyle w:val="23"/>
        <w:spacing w:line="640" w:lineRule="exact"/>
        <w:ind w:firstLine="0" w:firstLineChars="0"/>
        <w:jc w:val="center"/>
        <w:rPr>
          <w:rFonts w:ascii="方正小标宋简体" w:hAnsi="黑体" w:eastAsia="方正小标宋简体" w:cs="黑体"/>
          <w:kern w:val="2"/>
          <w:szCs w:val="36"/>
        </w:rPr>
      </w:pPr>
      <w:r>
        <w:rPr>
          <w:rFonts w:hint="eastAsia" w:ascii="方正小标宋简体" w:hAnsi="黑体" w:eastAsia="方正小标宋简体" w:cs="黑体"/>
          <w:kern w:val="2"/>
          <w:szCs w:val="36"/>
        </w:rPr>
        <w:t>达茂联合旗人民政府</w:t>
      </w:r>
    </w:p>
    <w:p w14:paraId="0AF4887D">
      <w:pPr>
        <w:pStyle w:val="23"/>
        <w:spacing w:line="640" w:lineRule="exact"/>
        <w:ind w:firstLine="0" w:firstLineChars="0"/>
        <w:jc w:val="center"/>
        <w:rPr>
          <w:rFonts w:ascii="方正小标宋简体" w:hAnsi="黑体" w:eastAsia="方正小标宋简体" w:cs="黑体"/>
          <w:kern w:val="2"/>
          <w:szCs w:val="36"/>
        </w:rPr>
      </w:pPr>
      <w:r>
        <w:rPr>
          <w:rFonts w:hint="eastAsia" w:ascii="方正小标宋简体" w:hAnsi="黑体" w:eastAsia="方正小标宋简体" w:cs="黑体"/>
          <w:kern w:val="2"/>
          <w:szCs w:val="36"/>
        </w:rPr>
        <w:t>2021年3月</w:t>
      </w:r>
    </w:p>
    <w:p w14:paraId="54E49375">
      <w:pPr>
        <w:widowControl w:val="0"/>
        <w:adjustRightInd/>
        <w:snapToGrid/>
        <w:spacing w:line="640" w:lineRule="exact"/>
        <w:jc w:val="center"/>
        <w:rPr>
          <w:rFonts w:ascii="黑体" w:hAnsi="黑体" w:eastAsia="黑体" w:cs="黑体"/>
          <w:kern w:val="2"/>
          <w:sz w:val="36"/>
          <w:szCs w:val="36"/>
        </w:rPr>
      </w:pPr>
    </w:p>
    <w:p w14:paraId="66739DCD">
      <w:pPr>
        <w:widowControl w:val="0"/>
        <w:adjustRightInd/>
        <w:snapToGrid/>
        <w:spacing w:line="640" w:lineRule="exact"/>
        <w:rPr>
          <w:rFonts w:ascii="黑体" w:hAnsi="黑体" w:eastAsia="黑体" w:cs="黑体"/>
          <w:kern w:val="2"/>
          <w:sz w:val="36"/>
          <w:szCs w:val="36"/>
        </w:rPr>
      </w:pPr>
    </w:p>
    <w:p w14:paraId="096B1954">
      <w:pPr>
        <w:widowControl w:val="0"/>
        <w:adjustRightInd/>
        <w:snapToGrid/>
        <w:spacing w:line="640" w:lineRule="exact"/>
        <w:rPr>
          <w:rFonts w:ascii="黑体" w:hAnsi="黑体" w:eastAsia="黑体" w:cs="黑体"/>
          <w:kern w:val="2"/>
          <w:sz w:val="28"/>
          <w:szCs w:val="36"/>
        </w:rPr>
      </w:pPr>
    </w:p>
    <w:p w14:paraId="05456444">
      <w:pPr>
        <w:widowControl w:val="0"/>
        <w:adjustRightInd/>
        <w:snapToGrid/>
        <w:spacing w:line="600" w:lineRule="exact"/>
        <w:jc w:val="center"/>
        <w:rPr>
          <w:rFonts w:ascii="黑体" w:hAnsi="黑体" w:eastAsia="黑体" w:cs="黑体"/>
          <w:kern w:val="2"/>
          <w:sz w:val="44"/>
          <w:szCs w:val="44"/>
        </w:rPr>
      </w:pPr>
    </w:p>
    <w:p w14:paraId="511CC559">
      <w:pPr>
        <w:widowControl w:val="0"/>
        <w:adjustRightInd/>
        <w:snapToGrid/>
        <w:spacing w:line="600" w:lineRule="exact"/>
        <w:jc w:val="center"/>
        <w:rPr>
          <w:rFonts w:ascii="仿宋_GB2312" w:hAnsi="黑体" w:eastAsia="仿宋_GB2312" w:cs="黑体"/>
          <w:kern w:val="2"/>
          <w:sz w:val="32"/>
          <w:szCs w:val="36"/>
        </w:rPr>
      </w:pPr>
    </w:p>
    <w:p w14:paraId="1EA510F3">
      <w:pPr>
        <w:widowControl w:val="0"/>
        <w:adjustRightInd/>
        <w:snapToGrid/>
        <w:spacing w:line="600" w:lineRule="exact"/>
        <w:jc w:val="center"/>
        <w:rPr>
          <w:rFonts w:ascii="仿宋_GB2312" w:hAnsi="黑体" w:eastAsia="仿宋_GB2312" w:cs="黑体"/>
          <w:kern w:val="2"/>
          <w:sz w:val="32"/>
          <w:szCs w:val="36"/>
        </w:rPr>
      </w:pPr>
    </w:p>
    <w:p w14:paraId="638DA533">
      <w:pPr>
        <w:widowControl w:val="0"/>
        <w:adjustRightInd/>
        <w:snapToGrid/>
        <w:spacing w:line="600" w:lineRule="exact"/>
        <w:jc w:val="center"/>
        <w:rPr>
          <w:rFonts w:ascii="仿宋_GB2312" w:hAnsi="黑体" w:eastAsia="仿宋_GB2312" w:cs="黑体"/>
          <w:kern w:val="2"/>
          <w:sz w:val="32"/>
          <w:szCs w:val="36"/>
        </w:rPr>
      </w:pPr>
      <w:r>
        <w:rPr>
          <w:rFonts w:hint="eastAsia" w:ascii="仿宋_GB2312" w:hAnsi="黑体" w:eastAsia="仿宋_GB2312" w:cs="黑体"/>
          <w:kern w:val="2"/>
          <w:sz w:val="32"/>
          <w:szCs w:val="36"/>
        </w:rPr>
        <w:t>2021年3月7日达茂联合旗第十五届人民代表大会</w:t>
      </w:r>
    </w:p>
    <w:p w14:paraId="3047C6B6">
      <w:pPr>
        <w:widowControl w:val="0"/>
        <w:adjustRightInd/>
        <w:snapToGrid/>
        <w:spacing w:line="600" w:lineRule="exact"/>
        <w:jc w:val="center"/>
        <w:rPr>
          <w:rFonts w:ascii="仿宋_GB2312" w:hAnsi="黑体" w:eastAsia="仿宋_GB2312" w:cs="黑体"/>
          <w:kern w:val="2"/>
          <w:sz w:val="32"/>
          <w:szCs w:val="36"/>
        </w:rPr>
      </w:pPr>
      <w:r>
        <w:rPr>
          <w:rFonts w:hint="eastAsia" w:ascii="仿宋_GB2312" w:hAnsi="黑体" w:eastAsia="仿宋_GB2312" w:cs="黑体"/>
          <w:kern w:val="2"/>
          <w:sz w:val="32"/>
          <w:szCs w:val="36"/>
        </w:rPr>
        <w:t>第四次会议审议通过</w:t>
      </w:r>
    </w:p>
    <w:p w14:paraId="7A5A960D">
      <w:pPr>
        <w:widowControl w:val="0"/>
        <w:adjustRightInd/>
        <w:snapToGrid/>
        <w:spacing w:line="580" w:lineRule="exact"/>
        <w:jc w:val="center"/>
        <w:rPr>
          <w:rFonts w:ascii="黑体" w:hAnsi="黑体" w:eastAsia="黑体" w:cs="黑体"/>
          <w:kern w:val="2"/>
          <w:sz w:val="32"/>
          <w:szCs w:val="36"/>
        </w:rPr>
      </w:pPr>
    </w:p>
    <w:p w14:paraId="13C1862F">
      <w:pPr>
        <w:adjustRightInd/>
        <w:snapToGrid/>
        <w:rPr>
          <w:rFonts w:ascii="黑体" w:hAnsi="黑体" w:eastAsia="黑体" w:cs="黑体"/>
          <w:kern w:val="2"/>
          <w:sz w:val="32"/>
          <w:szCs w:val="36"/>
        </w:rPr>
      </w:pPr>
    </w:p>
    <w:p w14:paraId="641F629B">
      <w:pPr>
        <w:widowControl w:val="0"/>
        <w:adjustRightInd/>
        <w:snapToGrid/>
        <w:spacing w:after="240" w:line="640" w:lineRule="exact"/>
        <w:jc w:val="center"/>
        <w:rPr>
          <w:rFonts w:ascii="黑体" w:hAnsi="黑体" w:eastAsia="黑体" w:cs="黑体"/>
          <w:kern w:val="2"/>
          <w:sz w:val="32"/>
          <w:szCs w:val="36"/>
        </w:rPr>
      </w:pPr>
    </w:p>
    <w:p w14:paraId="3DCA1222">
      <w:pPr>
        <w:widowControl w:val="0"/>
        <w:adjustRightInd/>
        <w:snapToGrid/>
        <w:spacing w:after="240" w:line="640" w:lineRule="exact"/>
        <w:jc w:val="center"/>
        <w:rPr>
          <w:rFonts w:ascii="黑体" w:hAnsi="黑体" w:eastAsia="黑体" w:cs="黑体"/>
          <w:kern w:val="2"/>
          <w:sz w:val="32"/>
          <w:szCs w:val="36"/>
        </w:rPr>
      </w:pPr>
    </w:p>
    <w:p w14:paraId="45D2E097">
      <w:pPr>
        <w:widowControl w:val="0"/>
        <w:adjustRightInd/>
        <w:snapToGrid/>
        <w:spacing w:after="240" w:line="640" w:lineRule="exact"/>
        <w:jc w:val="center"/>
        <w:rPr>
          <w:rFonts w:ascii="黑体" w:hAnsi="黑体" w:eastAsia="黑体" w:cs="黑体"/>
          <w:kern w:val="2"/>
          <w:sz w:val="32"/>
          <w:szCs w:val="36"/>
        </w:rPr>
      </w:pPr>
    </w:p>
    <w:p w14:paraId="32EC89D1">
      <w:pPr>
        <w:widowControl w:val="0"/>
        <w:adjustRightInd/>
        <w:snapToGrid/>
        <w:spacing w:after="240" w:line="640" w:lineRule="exact"/>
        <w:jc w:val="center"/>
        <w:rPr>
          <w:rFonts w:ascii="黑体" w:hAnsi="黑体" w:eastAsia="黑体" w:cs="黑体"/>
          <w:kern w:val="2"/>
          <w:sz w:val="32"/>
          <w:szCs w:val="36"/>
        </w:rPr>
      </w:pPr>
    </w:p>
    <w:p w14:paraId="0C958D53">
      <w:pPr>
        <w:pStyle w:val="2"/>
        <w:ind w:firstLine="640"/>
      </w:pPr>
    </w:p>
    <w:p w14:paraId="27AF35EB"/>
    <w:p w14:paraId="08138871">
      <w:pPr>
        <w:widowControl w:val="0"/>
        <w:adjustRightInd/>
        <w:snapToGrid/>
        <w:spacing w:after="240" w:line="640" w:lineRule="exact"/>
        <w:rPr>
          <w:rFonts w:ascii="黑体" w:hAnsi="黑体" w:eastAsia="黑体" w:cs="黑体"/>
          <w:kern w:val="2"/>
          <w:sz w:val="32"/>
          <w:szCs w:val="36"/>
        </w:rPr>
      </w:pPr>
    </w:p>
    <w:p w14:paraId="6D2047EA">
      <w:pPr>
        <w:widowControl w:val="0"/>
        <w:adjustRightInd/>
        <w:snapToGrid/>
        <w:spacing w:after="240" w:line="640" w:lineRule="exact"/>
        <w:jc w:val="center"/>
        <w:rPr>
          <w:rFonts w:ascii="黑体" w:hAnsi="黑体" w:eastAsia="黑体" w:cs="黑体"/>
          <w:kern w:val="2"/>
          <w:sz w:val="32"/>
          <w:szCs w:val="36"/>
        </w:rPr>
      </w:pPr>
    </w:p>
    <w:p w14:paraId="6B471E0A">
      <w:pPr>
        <w:widowControl w:val="0"/>
        <w:adjustRightInd/>
        <w:snapToGrid/>
        <w:spacing w:after="240" w:line="640" w:lineRule="exact"/>
        <w:jc w:val="center"/>
        <w:rPr>
          <w:rFonts w:ascii="黑体" w:hAnsi="黑体" w:eastAsia="黑体" w:cs="黑体"/>
          <w:kern w:val="2"/>
          <w:sz w:val="32"/>
          <w:szCs w:val="36"/>
        </w:rPr>
      </w:pPr>
    </w:p>
    <w:p w14:paraId="189ACD88">
      <w:pPr>
        <w:widowControl w:val="0"/>
        <w:adjustRightInd/>
        <w:snapToGrid/>
        <w:spacing w:after="240" w:line="640" w:lineRule="exact"/>
        <w:jc w:val="center"/>
        <w:rPr>
          <w:rFonts w:ascii="黑体" w:hAnsi="黑体" w:eastAsia="黑体" w:cs="黑体"/>
          <w:kern w:val="2"/>
          <w:sz w:val="32"/>
          <w:szCs w:val="36"/>
        </w:rPr>
      </w:pPr>
    </w:p>
    <w:p w14:paraId="5261FDE3">
      <w:pPr>
        <w:widowControl w:val="0"/>
        <w:adjustRightInd/>
        <w:snapToGrid/>
        <w:spacing w:after="240" w:line="640" w:lineRule="exact"/>
        <w:jc w:val="center"/>
        <w:rPr>
          <w:rFonts w:ascii="黑体" w:hAnsi="黑体" w:eastAsia="黑体" w:cs="黑体"/>
          <w:kern w:val="2"/>
          <w:sz w:val="32"/>
          <w:szCs w:val="36"/>
        </w:rPr>
      </w:pPr>
    </w:p>
    <w:p w14:paraId="3A941921">
      <w:pPr>
        <w:widowControl w:val="0"/>
        <w:adjustRightInd/>
        <w:snapToGrid/>
        <w:spacing w:after="240" w:line="640" w:lineRule="exact"/>
        <w:jc w:val="center"/>
        <w:rPr>
          <w:rFonts w:ascii="黑体" w:hAnsi="黑体" w:eastAsia="黑体" w:cs="黑体"/>
          <w:kern w:val="2"/>
          <w:sz w:val="32"/>
          <w:szCs w:val="36"/>
        </w:rPr>
      </w:pPr>
    </w:p>
    <w:p w14:paraId="1A728E36">
      <w:pPr>
        <w:widowControl w:val="0"/>
        <w:adjustRightInd/>
        <w:snapToGrid/>
        <w:spacing w:after="240" w:line="640" w:lineRule="exact"/>
        <w:jc w:val="center"/>
        <w:rPr>
          <w:rFonts w:asciiTheme="minorEastAsia" w:hAnsiTheme="minorEastAsia" w:eastAsiaTheme="minorEastAsia" w:cstheme="minorEastAsia"/>
          <w:kern w:val="2"/>
          <w:sz w:val="22"/>
          <w:szCs w:val="28"/>
        </w:rPr>
      </w:pPr>
      <w:r>
        <w:rPr>
          <w:rFonts w:hint="eastAsia" w:ascii="黑体" w:hAnsi="黑体" w:eastAsia="黑体" w:cs="黑体"/>
          <w:kern w:val="2"/>
          <w:sz w:val="32"/>
          <w:szCs w:val="36"/>
        </w:rPr>
        <w:t>目  录</w:t>
      </w:r>
    </w:p>
    <w:p w14:paraId="40DE7580">
      <w:pPr>
        <w:pStyle w:val="17"/>
        <w:numPr>
          <w:ilvl w:val="0"/>
          <w:numId w:val="1"/>
        </w:numPr>
        <w:tabs>
          <w:tab w:val="right" w:leader="dot" w:pos="8296"/>
        </w:tabs>
        <w:rPr>
          <w:rFonts w:asciiTheme="minorHAnsi" w:hAnsiTheme="minorHAnsi" w:eastAsiaTheme="minorEastAsia" w:cstheme="minorBidi"/>
          <w:b w:val="0"/>
          <w:kern w:val="2"/>
          <w:sz w:val="21"/>
        </w:rPr>
      </w:pPr>
      <w:r>
        <w:rPr>
          <w:rFonts w:asciiTheme="minorEastAsia" w:hAnsiTheme="minorEastAsia" w:eastAsiaTheme="minorEastAsia" w:cstheme="minorEastAsia"/>
          <w:kern w:val="2"/>
          <w:sz w:val="28"/>
          <w:szCs w:val="28"/>
        </w:rPr>
        <w:fldChar w:fldCharType="begin"/>
      </w:r>
      <w:r>
        <w:rPr>
          <w:rFonts w:asciiTheme="minorEastAsia" w:hAnsiTheme="minorEastAsia" w:eastAsiaTheme="minorEastAsia" w:cstheme="minorEastAsia"/>
          <w:kern w:val="2"/>
          <w:sz w:val="28"/>
          <w:szCs w:val="28"/>
        </w:rPr>
        <w:instrText xml:space="preserve"> TOC \o "1-2" \h \z \u </w:instrText>
      </w:r>
      <w:r>
        <w:rPr>
          <w:rFonts w:asciiTheme="minorEastAsia" w:hAnsiTheme="minorEastAsia" w:eastAsiaTheme="minorEastAsia" w:cstheme="minorEastAsia"/>
          <w:kern w:val="2"/>
          <w:sz w:val="28"/>
          <w:szCs w:val="28"/>
        </w:rPr>
        <w:fldChar w:fldCharType="separate"/>
      </w:r>
      <w:r>
        <w:fldChar w:fldCharType="begin"/>
      </w:r>
      <w:r>
        <w:instrText xml:space="preserve"> HYPERLINK \l "_Toc71878847" </w:instrText>
      </w:r>
      <w:r>
        <w:fldChar w:fldCharType="separate"/>
      </w:r>
      <w:r>
        <w:rPr>
          <w:rStyle w:val="32"/>
          <w:rFonts w:hint="eastAsia"/>
        </w:rPr>
        <w:t xml:space="preserve"> 科学研判全面审视发展新起点</w:t>
      </w:r>
      <w:r>
        <w:tab/>
      </w:r>
      <w:r>
        <w:fldChar w:fldCharType="begin"/>
      </w:r>
      <w:r>
        <w:instrText xml:space="preserve"> PAGEREF _Toc71878847 \h </w:instrText>
      </w:r>
      <w:r>
        <w:fldChar w:fldCharType="separate"/>
      </w:r>
      <w:r>
        <w:t>1</w:t>
      </w:r>
      <w:r>
        <w:fldChar w:fldCharType="end"/>
      </w:r>
      <w:r>
        <w:fldChar w:fldCharType="end"/>
      </w:r>
    </w:p>
    <w:p w14:paraId="0D4A02CD">
      <w:pPr>
        <w:pStyle w:val="20"/>
        <w:numPr>
          <w:ilvl w:val="0"/>
          <w:numId w:val="2"/>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"_Toc71878848" </w:instrText>
      </w:r>
      <w:r>
        <w:fldChar w:fldCharType="separate"/>
      </w:r>
      <w:r>
        <w:rPr>
          <w:rStyle w:val="32"/>
          <w:rFonts w:hint="eastAsia"/>
          <w:lang w:bidi="mn-Mong-CN"/>
        </w:rPr>
        <w:t>准确把握达茂旗发展的基础与条件</w:t>
      </w:r>
      <w:r>
        <w:tab/>
      </w:r>
      <w:r>
        <w:fldChar w:fldCharType="begin"/>
      </w:r>
      <w:r>
        <w:instrText xml:space="preserve"> PAGEREF _Toc71878848 \h </w:instrText>
      </w:r>
      <w:r>
        <w:fldChar w:fldCharType="separate"/>
      </w:r>
      <w:r>
        <w:t>1</w:t>
      </w:r>
      <w:r>
        <w:fldChar w:fldCharType="end"/>
      </w:r>
      <w:r>
        <w:fldChar w:fldCharType="end"/>
      </w:r>
    </w:p>
    <w:p w14:paraId="232E625E">
      <w:pPr>
        <w:pStyle w:val="20"/>
        <w:numPr>
          <w:ilvl w:val="0"/>
          <w:numId w:val="2"/>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"_Toc71878849" </w:instrText>
      </w:r>
      <w:r>
        <w:fldChar w:fldCharType="separate"/>
      </w:r>
      <w:r>
        <w:rPr>
          <w:rStyle w:val="32"/>
          <w:rFonts w:hint="eastAsia"/>
          <w:lang w:bidi="mn-Mong-CN"/>
        </w:rPr>
        <w:t>全力抢抓大有可为的战略机遇期</w:t>
      </w:r>
      <w:r>
        <w:tab/>
      </w:r>
      <w:r>
        <w:fldChar w:fldCharType="begin"/>
      </w:r>
      <w:r>
        <w:instrText xml:space="preserve"> PAGEREF _Toc71878849 \h </w:instrText>
      </w:r>
      <w:r>
        <w:fldChar w:fldCharType="separate"/>
      </w:r>
      <w:r>
        <w:t>5</w:t>
      </w:r>
      <w:r>
        <w:fldChar w:fldCharType="end"/>
      </w:r>
      <w:r>
        <w:fldChar w:fldCharType="end"/>
      </w:r>
    </w:p>
    <w:p w14:paraId="3BD6F080">
      <w:pPr>
        <w:pStyle w:val="17"/>
        <w:numPr>
          <w:ilvl w:val="0"/>
          <w:numId w:val="1"/>
        </w:numPr>
        <w:tabs>
          <w:tab w:val="right" w:leader="dot" w:pos="8296"/>
        </w:tabs>
        <w:rPr>
          <w:rFonts w:asciiTheme="minorHAnsi" w:hAnsiTheme="minorHAnsi" w:eastAsiaTheme="minorEastAsia" w:cstheme="minorBidi"/>
          <w:b w:val="0"/>
          <w:kern w:val="2"/>
          <w:sz w:val="21"/>
        </w:rPr>
      </w:pPr>
      <w:r>
        <w:fldChar w:fldCharType="begin"/>
      </w:r>
      <w:r>
        <w:instrText xml:space="preserve"> HYPERLINK \l "_Toc71878850" </w:instrText>
      </w:r>
      <w:r>
        <w:fldChar w:fldCharType="separate"/>
      </w:r>
      <w:r>
        <w:rPr>
          <w:rStyle w:val="32"/>
          <w:rFonts w:hint="eastAsia"/>
        </w:rPr>
        <w:t xml:space="preserve"> 擘划蓝图开启高质量发展新征程</w:t>
      </w:r>
      <w:r>
        <w:tab/>
      </w:r>
      <w:r>
        <w:fldChar w:fldCharType="begin"/>
      </w:r>
      <w:r>
        <w:instrText xml:space="preserve"> PAGEREF _Toc71878850 \h </w:instrText>
      </w:r>
      <w:r>
        <w:fldChar w:fldCharType="separate"/>
      </w:r>
      <w:r>
        <w:t>10</w:t>
      </w:r>
      <w:r>
        <w:fldChar w:fldCharType="end"/>
      </w:r>
      <w:r>
        <w:fldChar w:fldCharType="end"/>
      </w:r>
    </w:p>
    <w:p w14:paraId="1C90BD26">
      <w:pPr>
        <w:pStyle w:val="20"/>
        <w:numPr>
          <w:ilvl w:val="0"/>
          <w:numId w:val="3"/>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"_Toc71878851" </w:instrText>
      </w:r>
      <w:r>
        <w:fldChar w:fldCharType="separate"/>
      </w:r>
      <w:r>
        <w:rPr>
          <w:rStyle w:val="32"/>
          <w:rFonts w:hint="eastAsia"/>
          <w:lang w:bidi="mn-Mong-CN"/>
        </w:rPr>
        <w:t xml:space="preserve"> 指导思想</w:t>
      </w:r>
      <w:r>
        <w:tab/>
      </w:r>
      <w:r>
        <w:fldChar w:fldCharType="begin"/>
      </w:r>
      <w:r>
        <w:instrText xml:space="preserve"> PAGEREF _Toc71878851 \h </w:instrText>
      </w:r>
      <w:r>
        <w:fldChar w:fldCharType="separate"/>
      </w:r>
      <w:r>
        <w:t>11</w:t>
      </w:r>
      <w:r>
        <w:fldChar w:fldCharType="end"/>
      </w:r>
      <w:r>
        <w:fldChar w:fldCharType="end"/>
      </w:r>
    </w:p>
    <w:p w14:paraId="1158A90C">
      <w:pPr>
        <w:pStyle w:val="20"/>
        <w:numPr>
          <w:ilvl w:val="0"/>
          <w:numId w:val="3"/>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"_Toc71878852" </w:instrText>
      </w:r>
      <w:r>
        <w:fldChar w:fldCharType="separate"/>
      </w:r>
      <w:r>
        <w:rPr>
          <w:rStyle w:val="32"/>
          <w:rFonts w:hint="eastAsia"/>
          <w:lang w:bidi="mn-Mong-CN"/>
        </w:rPr>
        <w:t xml:space="preserve"> 基本原则</w:t>
      </w:r>
      <w:r>
        <w:tab/>
      </w:r>
      <w:r>
        <w:fldChar w:fldCharType="begin"/>
      </w:r>
      <w:r>
        <w:instrText xml:space="preserve"> PAGEREF _Toc71878852 \h </w:instrText>
      </w:r>
      <w:r>
        <w:fldChar w:fldCharType="separate"/>
      </w:r>
      <w:r>
        <w:t>11</w:t>
      </w:r>
      <w:r>
        <w:fldChar w:fldCharType="end"/>
      </w:r>
      <w:r>
        <w:fldChar w:fldCharType="end"/>
      </w:r>
    </w:p>
    <w:p w14:paraId="7C2F81B1">
      <w:pPr>
        <w:pStyle w:val="20"/>
        <w:numPr>
          <w:ilvl w:val="0"/>
          <w:numId w:val="3"/>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"_Toc71878853" </w:instrText>
      </w:r>
      <w:r>
        <w:fldChar w:fldCharType="separate"/>
      </w:r>
      <w:r>
        <w:rPr>
          <w:rStyle w:val="32"/>
          <w:rFonts w:hint="eastAsia"/>
          <w:lang w:bidi="mn-Mong-CN"/>
        </w:rPr>
        <w:t xml:space="preserve"> 发展目标</w:t>
      </w:r>
      <w:r>
        <w:tab/>
      </w:r>
      <w:r>
        <w:fldChar w:fldCharType="begin"/>
      </w:r>
      <w:r>
        <w:instrText xml:space="preserve"> PAGEREF _Toc71878853 \h </w:instrText>
      </w:r>
      <w:r>
        <w:fldChar w:fldCharType="separate"/>
      </w:r>
      <w:r>
        <w:t>12</w:t>
      </w:r>
      <w:r>
        <w:fldChar w:fldCharType="end"/>
      </w:r>
      <w:r>
        <w:fldChar w:fldCharType="end"/>
      </w:r>
    </w:p>
    <w:p w14:paraId="36E484A3">
      <w:pPr>
        <w:pStyle w:val="17"/>
        <w:numPr>
          <w:ilvl w:val="0"/>
          <w:numId w:val="1"/>
        </w:numPr>
        <w:tabs>
          <w:tab w:val="right" w:leader="dot" w:pos="8296"/>
        </w:tabs>
        <w:rPr>
          <w:rFonts w:asciiTheme="minorHAnsi" w:hAnsiTheme="minorHAnsi" w:eastAsiaTheme="minorEastAsia" w:cstheme="minorBidi"/>
          <w:b w:val="0"/>
          <w:kern w:val="2"/>
          <w:sz w:val="21"/>
        </w:rPr>
      </w:pPr>
      <w:r>
        <w:fldChar w:fldCharType="begin"/>
      </w:r>
      <w:r>
        <w:instrText xml:space="preserve"> HYPERLINK \l "_Toc71878854" </w:instrText>
      </w:r>
      <w:r>
        <w:fldChar w:fldCharType="separate"/>
      </w:r>
      <w:r>
        <w:rPr>
          <w:rStyle w:val="32"/>
          <w:rFonts w:hint="eastAsia"/>
        </w:rPr>
        <w:t xml:space="preserve"> 创新驱动全面打造发展新动能</w:t>
      </w:r>
      <w:r>
        <w:tab/>
      </w:r>
      <w:r>
        <w:fldChar w:fldCharType="begin"/>
      </w:r>
      <w:r>
        <w:instrText xml:space="preserve"> PAGEREF _Toc71878854 \h </w:instrText>
      </w:r>
      <w:r>
        <w:fldChar w:fldCharType="separate"/>
      </w:r>
      <w:r>
        <w:t>20</w:t>
      </w:r>
      <w:r>
        <w:fldChar w:fldCharType="end"/>
      </w:r>
      <w:r>
        <w:fldChar w:fldCharType="end"/>
      </w:r>
    </w:p>
    <w:p w14:paraId="3502FBFB">
      <w:pPr>
        <w:pStyle w:val="20"/>
        <w:numPr>
          <w:ilvl w:val="0"/>
          <w:numId w:val="4"/>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"_Toc71878855" </w:instrText>
      </w:r>
      <w:r>
        <w:fldChar w:fldCharType="separate"/>
      </w:r>
      <w:r>
        <w:rPr>
          <w:rStyle w:val="32"/>
          <w:rFonts w:hint="eastAsia"/>
          <w:lang w:bidi="mn-Mong-CN"/>
        </w:rPr>
        <w:t xml:space="preserve"> 增进科技创新动力</w:t>
      </w:r>
      <w:r>
        <w:tab/>
      </w:r>
      <w:r>
        <w:fldChar w:fldCharType="begin"/>
      </w:r>
      <w:r>
        <w:instrText xml:space="preserve"> PAGEREF _Toc71878855 \h </w:instrText>
      </w:r>
      <w:r>
        <w:fldChar w:fldCharType="separate"/>
      </w:r>
      <w:r>
        <w:t>21</w:t>
      </w:r>
      <w:r>
        <w:fldChar w:fldCharType="end"/>
      </w:r>
      <w:r>
        <w:fldChar w:fldCharType="end"/>
      </w:r>
    </w:p>
    <w:p w14:paraId="0CA947DB">
      <w:pPr>
        <w:pStyle w:val="20"/>
        <w:numPr>
          <w:ilvl w:val="0"/>
          <w:numId w:val="4"/>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"_Toc71878856" </w:instrText>
      </w:r>
      <w:r>
        <w:fldChar w:fldCharType="separate"/>
      </w:r>
      <w:r>
        <w:rPr>
          <w:rStyle w:val="32"/>
          <w:rFonts w:hint="eastAsia"/>
          <w:lang w:bidi="mn-Mong-CN"/>
        </w:rPr>
        <w:t xml:space="preserve"> 提升企业创新能力</w:t>
      </w:r>
      <w:r>
        <w:tab/>
      </w:r>
      <w:r>
        <w:fldChar w:fldCharType="begin"/>
      </w:r>
      <w:r>
        <w:instrText xml:space="preserve"> PAGEREF _Toc71878856 \h </w:instrText>
      </w:r>
      <w:r>
        <w:fldChar w:fldCharType="separate"/>
      </w:r>
      <w:r>
        <w:t>21</w:t>
      </w:r>
      <w:r>
        <w:fldChar w:fldCharType="end"/>
      </w:r>
      <w:r>
        <w:fldChar w:fldCharType="end"/>
      </w:r>
    </w:p>
    <w:p w14:paraId="0D8D4E5D">
      <w:pPr>
        <w:pStyle w:val="20"/>
        <w:numPr>
          <w:ilvl w:val="0"/>
          <w:numId w:val="4"/>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"_Toc71878857" </w:instrText>
      </w:r>
      <w:r>
        <w:fldChar w:fldCharType="separate"/>
      </w:r>
      <w:r>
        <w:rPr>
          <w:rStyle w:val="32"/>
          <w:rFonts w:hint="eastAsia"/>
          <w:lang w:bidi="mn-Mong-CN"/>
        </w:rPr>
        <w:t xml:space="preserve"> 激发人才创新创造活力</w:t>
      </w:r>
      <w:r>
        <w:tab/>
      </w:r>
      <w:r>
        <w:fldChar w:fldCharType="begin"/>
      </w:r>
      <w:r>
        <w:instrText xml:space="preserve"> PAGEREF _Toc71878857 \h </w:instrText>
      </w:r>
      <w:r>
        <w:fldChar w:fldCharType="separate"/>
      </w:r>
      <w:r>
        <w:t>22</w:t>
      </w:r>
      <w:r>
        <w:fldChar w:fldCharType="end"/>
      </w:r>
      <w:r>
        <w:fldChar w:fldCharType="end"/>
      </w:r>
    </w:p>
    <w:p w14:paraId="3CBDD7ED">
      <w:pPr>
        <w:pStyle w:val="17"/>
        <w:numPr>
          <w:ilvl w:val="0"/>
          <w:numId w:val="1"/>
        </w:numPr>
        <w:tabs>
          <w:tab w:val="right" w:leader="dot" w:pos="8296"/>
        </w:tabs>
        <w:rPr>
          <w:rFonts w:asciiTheme="minorHAnsi" w:hAnsiTheme="minorHAnsi" w:eastAsiaTheme="minorEastAsia" w:cstheme="minorBidi"/>
          <w:b w:val="0"/>
          <w:kern w:val="2"/>
          <w:sz w:val="21"/>
        </w:rPr>
      </w:pPr>
      <w:r>
        <w:fldChar w:fldCharType="begin"/>
      </w:r>
      <w:r>
        <w:instrText xml:space="preserve"> HYPERLINK \l "_Toc71878858" </w:instrText>
      </w:r>
      <w:r>
        <w:fldChar w:fldCharType="separate"/>
      </w:r>
      <w:r>
        <w:rPr>
          <w:rStyle w:val="32"/>
          <w:rFonts w:hint="eastAsia"/>
        </w:rPr>
        <w:t xml:space="preserve"> 优化布局构筑区域发展新空间</w:t>
      </w:r>
      <w:r>
        <w:tab/>
      </w:r>
      <w:r>
        <w:fldChar w:fldCharType="begin"/>
      </w:r>
      <w:r>
        <w:instrText xml:space="preserve"> PAGEREF _Toc71878858 \h </w:instrText>
      </w:r>
      <w:r>
        <w:fldChar w:fldCharType="separate"/>
      </w:r>
      <w:r>
        <w:t>23</w:t>
      </w:r>
      <w:r>
        <w:fldChar w:fldCharType="end"/>
      </w:r>
      <w:r>
        <w:fldChar w:fldCharType="end"/>
      </w:r>
    </w:p>
    <w:p w14:paraId="181EF571">
      <w:pPr>
        <w:pStyle w:val="20"/>
        <w:numPr>
          <w:ilvl w:val="0"/>
          <w:numId w:val="5"/>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"_Toc71878859" </w:instrText>
      </w:r>
      <w:r>
        <w:fldChar w:fldCharType="separate"/>
      </w:r>
      <w:r>
        <w:rPr>
          <w:rStyle w:val="32"/>
          <w:rFonts w:hint="eastAsia"/>
          <w:lang w:bidi="mn-Mong-CN"/>
        </w:rPr>
        <w:t xml:space="preserve"> 优化生态空间布局</w:t>
      </w:r>
      <w:r>
        <w:tab/>
      </w:r>
      <w:r>
        <w:fldChar w:fldCharType="begin"/>
      </w:r>
      <w:r>
        <w:instrText xml:space="preserve"> PAGEREF _Toc71878859 \h </w:instrText>
      </w:r>
      <w:r>
        <w:fldChar w:fldCharType="separate"/>
      </w:r>
      <w:r>
        <w:t>23</w:t>
      </w:r>
      <w:r>
        <w:fldChar w:fldCharType="end"/>
      </w:r>
      <w:r>
        <w:fldChar w:fldCharType="end"/>
      </w:r>
    </w:p>
    <w:p w14:paraId="79E851E6">
      <w:pPr>
        <w:pStyle w:val="20"/>
        <w:numPr>
          <w:ilvl w:val="0"/>
          <w:numId w:val="5"/>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"_Toc71878860" </w:instrText>
      </w:r>
      <w:r>
        <w:fldChar w:fldCharType="separate"/>
      </w:r>
      <w:r>
        <w:rPr>
          <w:rStyle w:val="32"/>
          <w:rFonts w:hint="eastAsia"/>
          <w:lang w:bidi="mn-Mong-CN"/>
        </w:rPr>
        <w:t xml:space="preserve"> 优化农牧业生产空间</w:t>
      </w:r>
      <w:r>
        <w:tab/>
      </w:r>
      <w:r>
        <w:fldChar w:fldCharType="begin"/>
      </w:r>
      <w:r>
        <w:instrText xml:space="preserve"> PAGEREF _Toc71878860 \h </w:instrText>
      </w:r>
      <w:r>
        <w:fldChar w:fldCharType="separate"/>
      </w:r>
      <w:r>
        <w:t>24</w:t>
      </w:r>
      <w:r>
        <w:fldChar w:fldCharType="end"/>
      </w:r>
      <w:r>
        <w:fldChar w:fldCharType="end"/>
      </w:r>
    </w:p>
    <w:p w14:paraId="0B1E4D1B">
      <w:pPr>
        <w:pStyle w:val="20"/>
        <w:numPr>
          <w:ilvl w:val="0"/>
          <w:numId w:val="5"/>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"_Toc71878861" </w:instrText>
      </w:r>
      <w:r>
        <w:fldChar w:fldCharType="separate"/>
      </w:r>
      <w:r>
        <w:rPr>
          <w:rStyle w:val="32"/>
          <w:rFonts w:hint="eastAsia"/>
          <w:lang w:bidi="mn-Mong-CN"/>
        </w:rPr>
        <w:t xml:space="preserve"> 优化城镇发展空间</w:t>
      </w:r>
      <w:r>
        <w:tab/>
      </w:r>
      <w:r>
        <w:fldChar w:fldCharType="begin"/>
      </w:r>
      <w:r>
        <w:instrText xml:space="preserve"> PAGEREF _Toc71878861 \h </w:instrText>
      </w:r>
      <w:r>
        <w:fldChar w:fldCharType="separate"/>
      </w:r>
      <w:r>
        <w:t>24</w:t>
      </w:r>
      <w:r>
        <w:fldChar w:fldCharType="end"/>
      </w:r>
      <w:r>
        <w:fldChar w:fldCharType="end"/>
      </w:r>
    </w:p>
    <w:p w14:paraId="3197468D">
      <w:pPr>
        <w:pStyle w:val="20"/>
        <w:numPr>
          <w:ilvl w:val="0"/>
          <w:numId w:val="5"/>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"_Toc71878862" </w:instrText>
      </w:r>
      <w:r>
        <w:fldChar w:fldCharType="separate"/>
      </w:r>
      <w:r>
        <w:rPr>
          <w:rStyle w:val="32"/>
          <w:rFonts w:hint="eastAsia"/>
          <w:lang w:bidi="mn-Mong-CN"/>
        </w:rPr>
        <w:t xml:space="preserve"> 优化产业布局</w:t>
      </w:r>
      <w:r>
        <w:tab/>
      </w:r>
      <w:r>
        <w:fldChar w:fldCharType="begin"/>
      </w:r>
      <w:r>
        <w:instrText xml:space="preserve"> PAGEREF _Toc71878862 \h </w:instrText>
      </w:r>
      <w:r>
        <w:fldChar w:fldCharType="separate"/>
      </w:r>
      <w:r>
        <w:t>25</w:t>
      </w:r>
      <w:r>
        <w:fldChar w:fldCharType="end"/>
      </w:r>
      <w:r>
        <w:fldChar w:fldCharType="end"/>
      </w:r>
    </w:p>
    <w:p w14:paraId="50003131">
      <w:pPr>
        <w:pStyle w:val="17"/>
        <w:numPr>
          <w:ilvl w:val="0"/>
          <w:numId w:val="1"/>
        </w:numPr>
        <w:tabs>
          <w:tab w:val="right" w:leader="dot" w:pos="8296"/>
        </w:tabs>
        <w:rPr>
          <w:rFonts w:asciiTheme="minorHAnsi" w:hAnsiTheme="minorHAnsi" w:eastAsiaTheme="minorEastAsia" w:cstheme="minorBidi"/>
          <w:b w:val="0"/>
          <w:kern w:val="2"/>
          <w:sz w:val="21"/>
        </w:rPr>
      </w:pPr>
      <w:r>
        <w:fldChar w:fldCharType="begin"/>
      </w:r>
      <w:r>
        <w:instrText xml:space="preserve"> HYPERLINK \l "_Toc71878863" </w:instrText>
      </w:r>
      <w:r>
        <w:fldChar w:fldCharType="separate"/>
      </w:r>
      <w:r>
        <w:rPr>
          <w:rStyle w:val="32"/>
          <w:rFonts w:hint="eastAsia"/>
        </w:rPr>
        <w:t xml:space="preserve"> 提质增效加快发展现代农牧业</w:t>
      </w:r>
      <w:r>
        <w:tab/>
      </w:r>
      <w:r>
        <w:fldChar w:fldCharType="begin"/>
      </w:r>
      <w:r>
        <w:instrText xml:space="preserve"> PAGEREF _Toc71878863 \h </w:instrText>
      </w:r>
      <w:r>
        <w:fldChar w:fldCharType="separate"/>
      </w:r>
      <w:r>
        <w:t>26</w:t>
      </w:r>
      <w:r>
        <w:fldChar w:fldCharType="end"/>
      </w:r>
      <w:r>
        <w:fldChar w:fldCharType="end"/>
      </w:r>
    </w:p>
    <w:p w14:paraId="7000DACE">
      <w:pPr>
        <w:pStyle w:val="20"/>
        <w:numPr>
          <w:ilvl w:val="0"/>
          <w:numId w:val="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"_Toc71878864" </w:instrText>
      </w:r>
      <w:r>
        <w:fldChar w:fldCharType="separate"/>
      </w:r>
      <w:r>
        <w:rPr>
          <w:rStyle w:val="32"/>
          <w:rFonts w:hint="eastAsia"/>
          <w:lang w:bidi="mn-Mong-CN"/>
        </w:rPr>
        <w:t xml:space="preserve"> 提高农牧业生产力和竞争力</w:t>
      </w:r>
      <w:r>
        <w:tab/>
      </w:r>
      <w:r>
        <w:fldChar w:fldCharType="begin"/>
      </w:r>
      <w:r>
        <w:instrText xml:space="preserve"> PAGEREF _Toc71878864 \h </w:instrText>
      </w:r>
      <w:r>
        <w:fldChar w:fldCharType="separate"/>
      </w:r>
      <w:r>
        <w:t>26</w:t>
      </w:r>
      <w:r>
        <w:fldChar w:fldCharType="end"/>
      </w:r>
      <w:r>
        <w:fldChar w:fldCharType="end"/>
      </w:r>
    </w:p>
    <w:p w14:paraId="0B2E50AF">
      <w:pPr>
        <w:pStyle w:val="20"/>
        <w:numPr>
          <w:ilvl w:val="0"/>
          <w:numId w:val="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"_Toc71878865" </w:instrText>
      </w:r>
      <w:r>
        <w:fldChar w:fldCharType="separate"/>
      </w:r>
      <w:r>
        <w:rPr>
          <w:rStyle w:val="32"/>
          <w:rFonts w:hint="eastAsia"/>
          <w:lang w:bidi="mn-Mong-CN"/>
        </w:rPr>
        <w:t xml:space="preserve"> 强化农牧业支撑体系</w:t>
      </w:r>
      <w:r>
        <w:tab/>
      </w:r>
      <w:r>
        <w:fldChar w:fldCharType="begin"/>
      </w:r>
      <w:r>
        <w:instrText xml:space="preserve"> PAGEREF _Toc71878865 \h </w:instrText>
      </w:r>
      <w:r>
        <w:fldChar w:fldCharType="separate"/>
      </w:r>
      <w:r>
        <w:t>29</w:t>
      </w:r>
      <w:r>
        <w:fldChar w:fldCharType="end"/>
      </w:r>
      <w:r>
        <w:fldChar w:fldCharType="end"/>
      </w:r>
    </w:p>
    <w:p w14:paraId="312114E2">
      <w:pPr>
        <w:pStyle w:val="20"/>
        <w:numPr>
          <w:ilvl w:val="0"/>
          <w:numId w:val="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"_Toc71878866" </w:instrText>
      </w:r>
      <w:r>
        <w:fldChar w:fldCharType="separate"/>
      </w:r>
      <w:r>
        <w:rPr>
          <w:rStyle w:val="32"/>
          <w:rFonts w:hint="eastAsia"/>
          <w:lang w:bidi="mn-Mong-CN"/>
        </w:rPr>
        <w:t xml:space="preserve"> 实施品牌战略</w:t>
      </w:r>
      <w:r>
        <w:tab/>
      </w:r>
      <w:r>
        <w:fldChar w:fldCharType="begin"/>
      </w:r>
      <w:r>
        <w:instrText xml:space="preserve"> PAGEREF _Toc71878866 \h </w:instrText>
      </w:r>
      <w:r>
        <w:fldChar w:fldCharType="separate"/>
      </w:r>
      <w:r>
        <w:t>30</w:t>
      </w:r>
      <w:r>
        <w:fldChar w:fldCharType="end"/>
      </w:r>
      <w:r>
        <w:fldChar w:fldCharType="end"/>
      </w:r>
    </w:p>
    <w:p w14:paraId="60964FC6">
      <w:pPr>
        <w:pStyle w:val="17"/>
        <w:numPr>
          <w:ilvl w:val="0"/>
          <w:numId w:val="1"/>
        </w:numPr>
        <w:tabs>
          <w:tab w:val="right" w:leader="dot" w:pos="8296"/>
        </w:tabs>
        <w:rPr>
          <w:rFonts w:asciiTheme="minorHAnsi" w:hAnsiTheme="minorHAnsi" w:eastAsiaTheme="minorEastAsia" w:cstheme="minorBidi"/>
          <w:b w:val="0"/>
          <w:kern w:val="2"/>
          <w:sz w:val="21"/>
        </w:rPr>
      </w:pPr>
      <w:r>
        <w:fldChar w:fldCharType="begin"/>
      </w:r>
      <w:r>
        <w:instrText xml:space="preserve"> HYPERLINK \l "_Toc71878867" </w:instrText>
      </w:r>
      <w:r>
        <w:fldChar w:fldCharType="separate"/>
      </w:r>
      <w:r>
        <w:rPr>
          <w:rStyle w:val="32"/>
          <w:rFonts w:hint="eastAsia"/>
        </w:rPr>
        <w:t xml:space="preserve"> 转型升级提升工业产业链供应链现代化水平</w:t>
      </w:r>
      <w:r>
        <w:tab/>
      </w:r>
      <w:r>
        <w:fldChar w:fldCharType="begin"/>
      </w:r>
      <w:r>
        <w:instrText xml:space="preserve"> PAGEREF _Toc71878867 \h </w:instrText>
      </w:r>
      <w:r>
        <w:fldChar w:fldCharType="separate"/>
      </w:r>
      <w:r>
        <w:t>31</w:t>
      </w:r>
      <w:r>
        <w:fldChar w:fldCharType="end"/>
      </w:r>
      <w:r>
        <w:fldChar w:fldCharType="end"/>
      </w:r>
    </w:p>
    <w:p w14:paraId="3A70B30E">
      <w:pPr>
        <w:pStyle w:val="20"/>
        <w:numPr>
          <w:ilvl w:val="0"/>
          <w:numId w:val="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"_Toc71878868" </w:instrText>
      </w:r>
      <w:r>
        <w:fldChar w:fldCharType="separate"/>
      </w:r>
      <w:r>
        <w:rPr>
          <w:rStyle w:val="32"/>
          <w:rFonts w:hint="eastAsia"/>
          <w:lang w:bidi="mn-Mong-CN"/>
        </w:rPr>
        <w:t xml:space="preserve"> 做大做强四个基地</w:t>
      </w:r>
      <w:r>
        <w:tab/>
      </w:r>
      <w:r>
        <w:fldChar w:fldCharType="begin"/>
      </w:r>
      <w:r>
        <w:instrText xml:space="preserve"> PAGEREF _Toc71878868 \h </w:instrText>
      </w:r>
      <w:r>
        <w:fldChar w:fldCharType="separate"/>
      </w:r>
      <w:r>
        <w:t>32</w:t>
      </w:r>
      <w:r>
        <w:fldChar w:fldCharType="end"/>
      </w:r>
      <w:r>
        <w:fldChar w:fldCharType="end"/>
      </w:r>
    </w:p>
    <w:p w14:paraId="533B94E8">
      <w:pPr>
        <w:pStyle w:val="20"/>
        <w:numPr>
          <w:ilvl w:val="0"/>
          <w:numId w:val="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"_Toc71878869" </w:instrText>
      </w:r>
      <w:r>
        <w:fldChar w:fldCharType="separate"/>
      </w:r>
      <w:r>
        <w:rPr>
          <w:rStyle w:val="32"/>
          <w:rFonts w:hint="eastAsia"/>
          <w:lang w:bidi="mn-Mong-CN"/>
        </w:rPr>
        <w:t xml:space="preserve"> 推动大数据产业发展</w:t>
      </w:r>
      <w:r>
        <w:tab/>
      </w:r>
      <w:r>
        <w:fldChar w:fldCharType="begin"/>
      </w:r>
      <w:r>
        <w:instrText xml:space="preserve"> PAGEREF _Toc71878869 \h </w:instrText>
      </w:r>
      <w:r>
        <w:fldChar w:fldCharType="separate"/>
      </w:r>
      <w:r>
        <w:t>39</w:t>
      </w:r>
      <w:r>
        <w:fldChar w:fldCharType="end"/>
      </w:r>
      <w:r>
        <w:fldChar w:fldCharType="end"/>
      </w:r>
    </w:p>
    <w:p w14:paraId="1C6637B6">
      <w:pPr>
        <w:pStyle w:val="20"/>
        <w:numPr>
          <w:ilvl w:val="0"/>
          <w:numId w:val="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"_Toc71878870" </w:instrText>
      </w:r>
      <w:r>
        <w:fldChar w:fldCharType="separate"/>
      </w:r>
      <w:r>
        <w:rPr>
          <w:rStyle w:val="32"/>
          <w:rFonts w:hint="eastAsia"/>
          <w:lang w:bidi="mn-Mong-CN"/>
        </w:rPr>
        <w:t xml:space="preserve"> 推动工业园区改造升级</w:t>
      </w:r>
      <w:r>
        <w:tab/>
      </w:r>
      <w:r>
        <w:fldChar w:fldCharType="begin"/>
      </w:r>
      <w:r>
        <w:instrText xml:space="preserve"> PAGEREF _Toc71878870 \h </w:instrText>
      </w:r>
      <w:r>
        <w:fldChar w:fldCharType="separate"/>
      </w:r>
      <w:r>
        <w:t>40</w:t>
      </w:r>
      <w:r>
        <w:fldChar w:fldCharType="end"/>
      </w:r>
      <w:r>
        <w:fldChar w:fldCharType="end"/>
      </w:r>
    </w:p>
    <w:p w14:paraId="6FE31EC4">
      <w:pPr>
        <w:pStyle w:val="17"/>
        <w:numPr>
          <w:ilvl w:val="0"/>
          <w:numId w:val="1"/>
        </w:numPr>
        <w:tabs>
          <w:tab w:val="right" w:leader="dot" w:pos="8296"/>
        </w:tabs>
        <w:rPr>
          <w:rFonts w:asciiTheme="minorHAnsi" w:hAnsiTheme="minorHAnsi" w:eastAsiaTheme="minorEastAsia" w:cstheme="minorBidi"/>
          <w:b w:val="0"/>
          <w:kern w:val="2"/>
          <w:sz w:val="21"/>
        </w:rPr>
      </w:pPr>
      <w:r>
        <w:fldChar w:fldCharType="begin"/>
      </w:r>
      <w:r>
        <w:instrText xml:space="preserve"> HYPERLINK \l "_Toc71878871" </w:instrText>
      </w:r>
      <w:r>
        <w:fldChar w:fldCharType="separate"/>
      </w:r>
      <w:r>
        <w:rPr>
          <w:rStyle w:val="32"/>
          <w:rFonts w:hint="eastAsia"/>
        </w:rPr>
        <w:t xml:space="preserve"> 提升品质加快发展现代服务业</w:t>
      </w:r>
      <w:r>
        <w:tab/>
      </w:r>
      <w:r>
        <w:fldChar w:fldCharType="begin"/>
      </w:r>
      <w:r>
        <w:instrText xml:space="preserve"> PAGEREF _Toc71878871 \h </w:instrText>
      </w:r>
      <w:r>
        <w:fldChar w:fldCharType="separate"/>
      </w:r>
      <w:r>
        <w:t>42</w:t>
      </w:r>
      <w:r>
        <w:fldChar w:fldCharType="end"/>
      </w:r>
      <w:r>
        <w:fldChar w:fldCharType="end"/>
      </w:r>
    </w:p>
    <w:p w14:paraId="1F68A5AA">
      <w:pPr>
        <w:pStyle w:val="20"/>
        <w:numPr>
          <w:ilvl w:val="0"/>
          <w:numId w:val="8"/>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"_Toc71878872" </w:instrText>
      </w:r>
      <w:r>
        <w:fldChar w:fldCharType="separate"/>
      </w:r>
      <w:r>
        <w:rPr>
          <w:rStyle w:val="32"/>
          <w:rFonts w:hint="eastAsia"/>
          <w:lang w:bidi="mn-Mong-CN"/>
        </w:rPr>
        <w:t xml:space="preserve"> 发展高品质生活服务业</w:t>
      </w:r>
      <w:r>
        <w:tab/>
      </w:r>
      <w:r>
        <w:fldChar w:fldCharType="begin"/>
      </w:r>
      <w:r>
        <w:instrText xml:space="preserve"> PAGEREF _Toc71878872 \h </w:instrText>
      </w:r>
      <w:r>
        <w:fldChar w:fldCharType="separate"/>
      </w:r>
      <w:r>
        <w:t>42</w:t>
      </w:r>
      <w:r>
        <w:fldChar w:fldCharType="end"/>
      </w:r>
      <w:r>
        <w:fldChar w:fldCharType="end"/>
      </w:r>
    </w:p>
    <w:p w14:paraId="3C3B36D2">
      <w:pPr>
        <w:pStyle w:val="20"/>
        <w:numPr>
          <w:ilvl w:val="0"/>
          <w:numId w:val="8"/>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"_Toc71878873" </w:instrText>
      </w:r>
      <w:r>
        <w:fldChar w:fldCharType="separate"/>
      </w:r>
      <w:r>
        <w:rPr>
          <w:rStyle w:val="32"/>
          <w:rFonts w:hint="eastAsia"/>
          <w:lang w:bidi="mn-Mong-CN"/>
        </w:rPr>
        <w:t xml:space="preserve"> 发展专业化生产性服务业</w:t>
      </w:r>
      <w:r>
        <w:tab/>
      </w:r>
      <w:r>
        <w:fldChar w:fldCharType="begin"/>
      </w:r>
      <w:r>
        <w:instrText xml:space="preserve"> PAGEREF _Toc71878873 \h </w:instrText>
      </w:r>
      <w:r>
        <w:fldChar w:fldCharType="separate"/>
      </w:r>
      <w:r>
        <w:t>43</w:t>
      </w:r>
      <w:r>
        <w:fldChar w:fldCharType="end"/>
      </w:r>
      <w:r>
        <w:fldChar w:fldCharType="end"/>
      </w:r>
    </w:p>
    <w:p w14:paraId="61897236">
      <w:pPr>
        <w:pStyle w:val="20"/>
        <w:numPr>
          <w:ilvl w:val="0"/>
          <w:numId w:val="8"/>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"_Toc71878874" </w:instrText>
      </w:r>
      <w:r>
        <w:fldChar w:fldCharType="separate"/>
      </w:r>
      <w:r>
        <w:rPr>
          <w:rStyle w:val="32"/>
          <w:rFonts w:hint="eastAsia"/>
          <w:lang w:bidi="mn-Mong-CN"/>
        </w:rPr>
        <w:t xml:space="preserve"> 推进新兴服务业发展</w:t>
      </w:r>
      <w:r>
        <w:tab/>
      </w:r>
      <w:r>
        <w:fldChar w:fldCharType="begin"/>
      </w:r>
      <w:r>
        <w:instrText xml:space="preserve"> PAGEREF _Toc71878874 \h </w:instrText>
      </w:r>
      <w:r>
        <w:fldChar w:fldCharType="separate"/>
      </w:r>
      <w:r>
        <w:t>45</w:t>
      </w:r>
      <w:r>
        <w:fldChar w:fldCharType="end"/>
      </w:r>
      <w:r>
        <w:fldChar w:fldCharType="end"/>
      </w:r>
    </w:p>
    <w:p w14:paraId="0761310E">
      <w:pPr>
        <w:pStyle w:val="17"/>
        <w:numPr>
          <w:ilvl w:val="0"/>
          <w:numId w:val="1"/>
        </w:numPr>
        <w:tabs>
          <w:tab w:val="right" w:leader="dot" w:pos="8296"/>
        </w:tabs>
        <w:rPr>
          <w:rFonts w:asciiTheme="minorHAnsi" w:hAnsiTheme="minorHAnsi" w:eastAsiaTheme="minorEastAsia" w:cstheme="minorBidi"/>
          <w:b w:val="0"/>
          <w:kern w:val="2"/>
          <w:sz w:val="21"/>
        </w:rPr>
      </w:pPr>
      <w:r>
        <w:fldChar w:fldCharType="begin"/>
      </w:r>
      <w:r>
        <w:instrText xml:space="preserve"> HYPERLINK \l "_Toc71878875" </w:instrText>
      </w:r>
      <w:r>
        <w:fldChar w:fldCharType="separate"/>
      </w:r>
      <w:r>
        <w:rPr>
          <w:rStyle w:val="32"/>
          <w:rFonts w:hint="eastAsia"/>
        </w:rPr>
        <w:t xml:space="preserve"> 挖掘优势打造国家全域旅游示范区</w:t>
      </w:r>
      <w:r>
        <w:tab/>
      </w:r>
      <w:r>
        <w:fldChar w:fldCharType="begin"/>
      </w:r>
      <w:r>
        <w:instrText xml:space="preserve"> PAGEREF _Toc71878875 \h </w:instrText>
      </w:r>
      <w:r>
        <w:fldChar w:fldCharType="separate"/>
      </w:r>
      <w:r>
        <w:t>46</w:t>
      </w:r>
      <w:r>
        <w:fldChar w:fldCharType="end"/>
      </w:r>
      <w:r>
        <w:fldChar w:fldCharType="end"/>
      </w:r>
    </w:p>
    <w:p w14:paraId="1AAF12BB">
      <w:pPr>
        <w:pStyle w:val="20"/>
        <w:numPr>
          <w:ilvl w:val="0"/>
          <w:numId w:val="9"/>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"_Toc71878876" </w:instrText>
      </w:r>
      <w:r>
        <w:fldChar w:fldCharType="separate"/>
      </w:r>
      <w:r>
        <w:rPr>
          <w:rStyle w:val="32"/>
          <w:rFonts w:hint="eastAsia"/>
          <w:lang w:bidi="mn-Mong-CN"/>
        </w:rPr>
        <w:t xml:space="preserve"> 建设精品旅游景区</w:t>
      </w:r>
      <w:r>
        <w:tab/>
      </w:r>
      <w:r>
        <w:fldChar w:fldCharType="begin"/>
      </w:r>
      <w:r>
        <w:instrText xml:space="preserve"> PAGEREF _Toc71878876 \h </w:instrText>
      </w:r>
      <w:r>
        <w:fldChar w:fldCharType="separate"/>
      </w:r>
      <w:r>
        <w:t>48</w:t>
      </w:r>
      <w:r>
        <w:fldChar w:fldCharType="end"/>
      </w:r>
      <w:r>
        <w:fldChar w:fldCharType="end"/>
      </w:r>
    </w:p>
    <w:p w14:paraId="57064D30">
      <w:pPr>
        <w:pStyle w:val="20"/>
        <w:numPr>
          <w:ilvl w:val="0"/>
          <w:numId w:val="9"/>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"_Toc71878877" </w:instrText>
      </w:r>
      <w:r>
        <w:fldChar w:fldCharType="separate"/>
      </w:r>
      <w:r>
        <w:rPr>
          <w:rStyle w:val="32"/>
          <w:rFonts w:hint="eastAsia"/>
          <w:lang w:bidi="mn-Mong-CN"/>
        </w:rPr>
        <w:t xml:space="preserve"> 培育旅游新业态和新模式</w:t>
      </w:r>
      <w:r>
        <w:tab/>
      </w:r>
      <w:r>
        <w:fldChar w:fldCharType="begin"/>
      </w:r>
      <w:r>
        <w:instrText xml:space="preserve"> PAGEREF _Toc71878877 \h </w:instrText>
      </w:r>
      <w:r>
        <w:fldChar w:fldCharType="separate"/>
      </w:r>
      <w:r>
        <w:t>49</w:t>
      </w:r>
      <w:r>
        <w:fldChar w:fldCharType="end"/>
      </w:r>
      <w:r>
        <w:fldChar w:fldCharType="end"/>
      </w:r>
    </w:p>
    <w:p w14:paraId="65CD82BF">
      <w:pPr>
        <w:pStyle w:val="20"/>
        <w:numPr>
          <w:ilvl w:val="0"/>
          <w:numId w:val="9"/>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"_Toc71878878" </w:instrText>
      </w:r>
      <w:r>
        <w:fldChar w:fldCharType="separate"/>
      </w:r>
      <w:r>
        <w:rPr>
          <w:rStyle w:val="32"/>
          <w:rFonts w:hint="eastAsia"/>
          <w:lang w:bidi="mn-Mong-CN"/>
        </w:rPr>
        <w:t xml:space="preserve"> 加强旅游市场主体建设</w:t>
      </w:r>
      <w:r>
        <w:tab/>
      </w:r>
      <w:r>
        <w:fldChar w:fldCharType="begin"/>
      </w:r>
      <w:r>
        <w:instrText xml:space="preserve"> PAGEREF _Toc71878878 \h </w:instrText>
      </w:r>
      <w:r>
        <w:fldChar w:fldCharType="separate"/>
      </w:r>
      <w:r>
        <w:t>50</w:t>
      </w:r>
      <w:r>
        <w:fldChar w:fldCharType="end"/>
      </w:r>
      <w:r>
        <w:fldChar w:fldCharType="end"/>
      </w:r>
    </w:p>
    <w:p w14:paraId="0FAD8BB2">
      <w:pPr>
        <w:pStyle w:val="20"/>
        <w:numPr>
          <w:ilvl w:val="0"/>
          <w:numId w:val="9"/>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"_Toc71878879" </w:instrText>
      </w:r>
      <w:r>
        <w:fldChar w:fldCharType="separate"/>
      </w:r>
      <w:r>
        <w:rPr>
          <w:rStyle w:val="32"/>
          <w:rFonts w:hint="eastAsia"/>
          <w:lang w:bidi="mn-Mong-CN"/>
        </w:rPr>
        <w:t xml:space="preserve"> 完善旅游公共服务体系</w:t>
      </w:r>
      <w:r>
        <w:tab/>
      </w:r>
      <w:r>
        <w:fldChar w:fldCharType="begin"/>
      </w:r>
      <w:r>
        <w:instrText xml:space="preserve"> PAGEREF _Toc71878879 \h </w:instrText>
      </w:r>
      <w:r>
        <w:fldChar w:fldCharType="separate"/>
      </w:r>
      <w:r>
        <w:t>51</w:t>
      </w:r>
      <w:r>
        <w:fldChar w:fldCharType="end"/>
      </w:r>
      <w:r>
        <w:fldChar w:fldCharType="end"/>
      </w:r>
    </w:p>
    <w:p w14:paraId="737E2055">
      <w:pPr>
        <w:pStyle w:val="20"/>
        <w:numPr>
          <w:ilvl w:val="0"/>
          <w:numId w:val="9"/>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"_Toc71878880" </w:instrText>
      </w:r>
      <w:r>
        <w:fldChar w:fldCharType="separate"/>
      </w:r>
      <w:r>
        <w:rPr>
          <w:rStyle w:val="32"/>
          <w:rFonts w:hint="eastAsia"/>
          <w:lang w:bidi="mn-Mong-CN"/>
        </w:rPr>
        <w:t xml:space="preserve"> 加强旅游区域合作与品牌营销</w:t>
      </w:r>
      <w:r>
        <w:tab/>
      </w:r>
      <w:r>
        <w:fldChar w:fldCharType="begin"/>
      </w:r>
      <w:r>
        <w:instrText xml:space="preserve"> PAGEREF _Toc71878880 \h </w:instrText>
      </w:r>
      <w:r>
        <w:fldChar w:fldCharType="separate"/>
      </w:r>
      <w:r>
        <w:t>52</w:t>
      </w:r>
      <w:r>
        <w:fldChar w:fldCharType="end"/>
      </w:r>
      <w:r>
        <w:fldChar w:fldCharType="end"/>
      </w:r>
    </w:p>
    <w:p w14:paraId="41AE4335">
      <w:pPr>
        <w:pStyle w:val="20"/>
        <w:numPr>
          <w:ilvl w:val="0"/>
          <w:numId w:val="9"/>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"_Toc71878881" </w:instrText>
      </w:r>
      <w:r>
        <w:fldChar w:fldCharType="separate"/>
      </w:r>
      <w:r>
        <w:rPr>
          <w:rStyle w:val="32"/>
          <w:rFonts w:hint="eastAsia"/>
          <w:lang w:bidi="mn-Mong-CN"/>
        </w:rPr>
        <w:t xml:space="preserve"> 创新旅游业发展体制机制</w:t>
      </w:r>
      <w:r>
        <w:tab/>
      </w:r>
      <w:r>
        <w:fldChar w:fldCharType="begin"/>
      </w:r>
      <w:r>
        <w:instrText xml:space="preserve"> PAGEREF _Toc71878881 \h </w:instrText>
      </w:r>
      <w:r>
        <w:fldChar w:fldCharType="separate"/>
      </w:r>
      <w:r>
        <w:t>52</w:t>
      </w:r>
      <w:r>
        <w:fldChar w:fldCharType="end"/>
      </w:r>
      <w:r>
        <w:fldChar w:fldCharType="end"/>
      </w:r>
    </w:p>
    <w:p w14:paraId="1F3B01E8">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"_Toc71878882" </w:instrText>
      </w:r>
      <w:r>
        <w:fldChar w:fldCharType="separate"/>
      </w:r>
      <w:r>
        <w:rPr>
          <w:rStyle w:val="32"/>
          <w:rFonts w:hint="eastAsia"/>
        </w:rPr>
        <w:t>第九章以人为本推进新型城镇化</w:t>
      </w:r>
      <w:r>
        <w:tab/>
      </w:r>
      <w:r>
        <w:fldChar w:fldCharType="begin"/>
      </w:r>
      <w:r>
        <w:instrText xml:space="preserve"> PAGEREF _Toc71878882 \h </w:instrText>
      </w:r>
      <w:r>
        <w:fldChar w:fldCharType="separate"/>
      </w:r>
      <w:r>
        <w:t>53</w:t>
      </w:r>
      <w:r>
        <w:fldChar w:fldCharType="end"/>
      </w:r>
      <w:r>
        <w:fldChar w:fldCharType="end"/>
      </w:r>
    </w:p>
    <w:p w14:paraId="1E065873">
      <w:pPr>
        <w:pStyle w:val="20"/>
        <w:numPr>
          <w:ilvl w:val="0"/>
          <w:numId w:val="10"/>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"_Toc71878883" </w:instrText>
      </w:r>
      <w:r>
        <w:fldChar w:fldCharType="separate"/>
      </w:r>
      <w:r>
        <w:rPr>
          <w:rStyle w:val="32"/>
          <w:rFonts w:hint="eastAsia"/>
          <w:lang w:bidi="mn-Mong-CN"/>
        </w:rPr>
        <w:t xml:space="preserve"> 建设美丽宜居县城</w:t>
      </w:r>
      <w:r>
        <w:tab/>
      </w:r>
      <w:r>
        <w:fldChar w:fldCharType="begin"/>
      </w:r>
      <w:r>
        <w:instrText xml:space="preserve"> PAGEREF _Toc71878883 \h </w:instrText>
      </w:r>
      <w:r>
        <w:fldChar w:fldCharType="separate"/>
      </w:r>
      <w:r>
        <w:t>53</w:t>
      </w:r>
      <w:r>
        <w:fldChar w:fldCharType="end"/>
      </w:r>
      <w:r>
        <w:fldChar w:fldCharType="end"/>
      </w:r>
    </w:p>
    <w:p w14:paraId="3923D021">
      <w:pPr>
        <w:pStyle w:val="20"/>
        <w:numPr>
          <w:ilvl w:val="0"/>
          <w:numId w:val="10"/>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"_Toc71878884" </w:instrText>
      </w:r>
      <w:r>
        <w:fldChar w:fldCharType="separate"/>
      </w:r>
      <w:r>
        <w:rPr>
          <w:rStyle w:val="32"/>
          <w:rFonts w:hint="eastAsia"/>
          <w:lang w:bidi="mn-Mong-CN"/>
        </w:rPr>
        <w:t xml:space="preserve"> 建设特色小城镇</w:t>
      </w:r>
      <w:r>
        <w:tab/>
      </w:r>
      <w:r>
        <w:fldChar w:fldCharType="begin"/>
      </w:r>
      <w:r>
        <w:instrText xml:space="preserve"> PAGEREF _Toc71878884 \h </w:instrText>
      </w:r>
      <w:r>
        <w:fldChar w:fldCharType="separate"/>
      </w:r>
      <w:r>
        <w:t>55</w:t>
      </w:r>
      <w:r>
        <w:fldChar w:fldCharType="end"/>
      </w:r>
      <w:r>
        <w:fldChar w:fldCharType="end"/>
      </w:r>
    </w:p>
    <w:p w14:paraId="3C2AFA45">
      <w:pPr>
        <w:pStyle w:val="20"/>
        <w:numPr>
          <w:ilvl w:val="0"/>
          <w:numId w:val="10"/>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"_Toc71878885" </w:instrText>
      </w:r>
      <w:r>
        <w:fldChar w:fldCharType="separate"/>
      </w:r>
      <w:r>
        <w:rPr>
          <w:rStyle w:val="32"/>
          <w:rFonts w:hint="eastAsia"/>
          <w:lang w:val="mn-Mong-CN" w:bidi="mn-Mong-CN"/>
        </w:rPr>
        <w:t xml:space="preserve"> 推进农牧区转移人口市民化进程</w:t>
      </w:r>
      <w:r>
        <w:tab/>
      </w:r>
      <w:r>
        <w:fldChar w:fldCharType="begin"/>
      </w:r>
      <w:r>
        <w:instrText xml:space="preserve"> PAGEREF _Toc71878885 \h </w:instrText>
      </w:r>
      <w:r>
        <w:fldChar w:fldCharType="separate"/>
      </w:r>
      <w:r>
        <w:t>56</w:t>
      </w:r>
      <w:r>
        <w:fldChar w:fldCharType="end"/>
      </w:r>
      <w:r>
        <w:fldChar w:fldCharType="end"/>
      </w:r>
    </w:p>
    <w:p w14:paraId="571A9DFB">
      <w:pPr>
        <w:pStyle w:val="20"/>
        <w:numPr>
          <w:ilvl w:val="0"/>
          <w:numId w:val="10"/>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"_Toc71878886" </w:instrText>
      </w:r>
      <w:r>
        <w:fldChar w:fldCharType="separate"/>
      </w:r>
      <w:r>
        <w:rPr>
          <w:rStyle w:val="32"/>
          <w:rFonts w:hint="eastAsia"/>
          <w:lang w:bidi="mn-Mong-CN"/>
        </w:rPr>
        <w:t xml:space="preserve"> 推进城乡一体化发展</w:t>
      </w:r>
      <w:r>
        <w:tab/>
      </w:r>
      <w:r>
        <w:fldChar w:fldCharType="begin"/>
      </w:r>
      <w:r>
        <w:instrText xml:space="preserve"> PAGEREF _Toc71878886 \h </w:instrText>
      </w:r>
      <w:r>
        <w:fldChar w:fldCharType="separate"/>
      </w:r>
      <w:r>
        <w:t>56</w:t>
      </w:r>
      <w:r>
        <w:fldChar w:fldCharType="end"/>
      </w:r>
      <w:r>
        <w:fldChar w:fldCharType="end"/>
      </w:r>
    </w:p>
    <w:p w14:paraId="11E75D1F">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"_Toc71878887" </w:instrText>
      </w:r>
      <w:r>
        <w:fldChar w:fldCharType="separate"/>
      </w:r>
      <w:r>
        <w:rPr>
          <w:rStyle w:val="32"/>
          <w:rFonts w:hint="eastAsia"/>
        </w:rPr>
        <w:t>第十章优先发展促进乡村全面振兴</w:t>
      </w:r>
      <w:r>
        <w:tab/>
      </w:r>
      <w:r>
        <w:fldChar w:fldCharType="begin"/>
      </w:r>
      <w:r>
        <w:instrText xml:space="preserve"> PAGEREF _Toc71878887 \h </w:instrText>
      </w:r>
      <w:r>
        <w:fldChar w:fldCharType="separate"/>
      </w:r>
      <w:r>
        <w:t>57</w:t>
      </w:r>
      <w:r>
        <w:fldChar w:fldCharType="end"/>
      </w:r>
      <w:r>
        <w:fldChar w:fldCharType="end"/>
      </w:r>
    </w:p>
    <w:p w14:paraId="592ECB2B">
      <w:pPr>
        <w:pStyle w:val="20"/>
        <w:numPr>
          <w:ilvl w:val="0"/>
          <w:numId w:val="11"/>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"_Toc71878888" </w:instrText>
      </w:r>
      <w:r>
        <w:fldChar w:fldCharType="separate"/>
      </w:r>
      <w:r>
        <w:rPr>
          <w:rStyle w:val="32"/>
          <w:rFonts w:hint="eastAsia"/>
          <w:lang w:bidi="mn-Mong-CN"/>
        </w:rPr>
        <w:t xml:space="preserve"> 巩固和拓展脱贫攻坚成果</w:t>
      </w:r>
      <w:r>
        <w:tab/>
      </w:r>
      <w:r>
        <w:fldChar w:fldCharType="begin"/>
      </w:r>
      <w:r>
        <w:instrText xml:space="preserve"> PAGEREF _Toc71878888 \h </w:instrText>
      </w:r>
      <w:r>
        <w:fldChar w:fldCharType="separate"/>
      </w:r>
      <w:r>
        <w:t>57</w:t>
      </w:r>
      <w:r>
        <w:fldChar w:fldCharType="end"/>
      </w:r>
      <w:r>
        <w:fldChar w:fldCharType="end"/>
      </w:r>
    </w:p>
    <w:p w14:paraId="5E4515EE">
      <w:pPr>
        <w:pStyle w:val="20"/>
        <w:numPr>
          <w:ilvl w:val="0"/>
          <w:numId w:val="11"/>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"_Toc71878889" </w:instrText>
      </w:r>
      <w:r>
        <w:fldChar w:fldCharType="separate"/>
      </w:r>
      <w:r>
        <w:rPr>
          <w:rStyle w:val="32"/>
          <w:rFonts w:hint="eastAsia"/>
          <w:lang w:bidi="mn-Mong-CN"/>
        </w:rPr>
        <w:t xml:space="preserve"> 实施乡村建设行动</w:t>
      </w:r>
      <w:r>
        <w:tab/>
      </w:r>
      <w:r>
        <w:fldChar w:fldCharType="begin"/>
      </w:r>
      <w:r>
        <w:instrText xml:space="preserve"> PAGEREF _Toc71878889 \h </w:instrText>
      </w:r>
      <w:r>
        <w:fldChar w:fldCharType="separate"/>
      </w:r>
      <w:r>
        <w:t>58</w:t>
      </w:r>
      <w:r>
        <w:fldChar w:fldCharType="end"/>
      </w:r>
      <w:r>
        <w:fldChar w:fldCharType="end"/>
      </w:r>
    </w:p>
    <w:p w14:paraId="0B729883">
      <w:pPr>
        <w:pStyle w:val="20"/>
        <w:numPr>
          <w:ilvl w:val="0"/>
          <w:numId w:val="11"/>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"_Toc71878890" </w:instrText>
      </w:r>
      <w:r>
        <w:fldChar w:fldCharType="separate"/>
      </w:r>
      <w:r>
        <w:rPr>
          <w:rStyle w:val="32"/>
          <w:rFonts w:hint="eastAsia"/>
          <w:lang w:bidi="mn-Mong-CN"/>
        </w:rPr>
        <w:t xml:space="preserve"> 建立健全城乡融合发展机制</w:t>
      </w:r>
      <w:r>
        <w:tab/>
      </w:r>
      <w:r>
        <w:fldChar w:fldCharType="begin"/>
      </w:r>
      <w:r>
        <w:instrText xml:space="preserve"> PAGEREF _Toc71878890 \h </w:instrText>
      </w:r>
      <w:r>
        <w:fldChar w:fldCharType="separate"/>
      </w:r>
      <w:r>
        <w:t>59</w:t>
      </w:r>
      <w:r>
        <w:fldChar w:fldCharType="end"/>
      </w:r>
      <w:r>
        <w:fldChar w:fldCharType="end"/>
      </w:r>
    </w:p>
    <w:p w14:paraId="45586BB4">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"_Toc71878891" </w:instrText>
      </w:r>
      <w:r>
        <w:fldChar w:fldCharType="separate"/>
      </w:r>
      <w:r>
        <w:rPr>
          <w:rStyle w:val="32"/>
          <w:rFonts w:hint="eastAsia"/>
        </w:rPr>
        <w:t>第十一章 适度超前提升基础设施支撑能力</w:t>
      </w:r>
      <w:r>
        <w:tab/>
      </w:r>
      <w:r>
        <w:fldChar w:fldCharType="begin"/>
      </w:r>
      <w:r>
        <w:instrText xml:space="preserve"> PAGEREF _Toc71878891 \h </w:instrText>
      </w:r>
      <w:r>
        <w:fldChar w:fldCharType="separate"/>
      </w:r>
      <w:r>
        <w:t>60</w:t>
      </w:r>
      <w:r>
        <w:fldChar w:fldCharType="end"/>
      </w:r>
      <w:r>
        <w:fldChar w:fldCharType="end"/>
      </w:r>
    </w:p>
    <w:p w14:paraId="58839012">
      <w:pPr>
        <w:pStyle w:val="20"/>
        <w:numPr>
          <w:ilvl w:val="0"/>
          <w:numId w:val="12"/>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"_Toc71878892" </w:instrText>
      </w:r>
      <w:r>
        <w:fldChar w:fldCharType="separate"/>
      </w:r>
      <w:r>
        <w:rPr>
          <w:rStyle w:val="32"/>
          <w:rFonts w:hint="eastAsia"/>
          <w:lang w:bidi="mn-Mong-CN"/>
        </w:rPr>
        <w:t xml:space="preserve"> 完善交通设施网络</w:t>
      </w:r>
      <w:r>
        <w:tab/>
      </w:r>
      <w:r>
        <w:fldChar w:fldCharType="begin"/>
      </w:r>
      <w:r>
        <w:instrText xml:space="preserve"> PAGEREF _Toc71878892 \h </w:instrText>
      </w:r>
      <w:r>
        <w:fldChar w:fldCharType="separate"/>
      </w:r>
      <w:r>
        <w:t>60</w:t>
      </w:r>
      <w:r>
        <w:fldChar w:fldCharType="end"/>
      </w:r>
      <w:r>
        <w:fldChar w:fldCharType="end"/>
      </w:r>
    </w:p>
    <w:p w14:paraId="733EAD71">
      <w:pPr>
        <w:pStyle w:val="20"/>
        <w:numPr>
          <w:ilvl w:val="0"/>
          <w:numId w:val="12"/>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"_Toc71878893" </w:instrText>
      </w:r>
      <w:r>
        <w:fldChar w:fldCharType="separate"/>
      </w:r>
      <w:r>
        <w:rPr>
          <w:rStyle w:val="32"/>
          <w:rFonts w:hint="eastAsia"/>
          <w:lang w:bidi="mn-Mong-CN"/>
        </w:rPr>
        <w:t xml:space="preserve"> 完善水利基础设施</w:t>
      </w:r>
      <w:r>
        <w:tab/>
      </w:r>
      <w:r>
        <w:fldChar w:fldCharType="begin"/>
      </w:r>
      <w:r>
        <w:instrText xml:space="preserve"> PAGEREF _Toc71878893 \h </w:instrText>
      </w:r>
      <w:r>
        <w:fldChar w:fldCharType="separate"/>
      </w:r>
      <w:r>
        <w:t>62</w:t>
      </w:r>
      <w:r>
        <w:fldChar w:fldCharType="end"/>
      </w:r>
      <w:r>
        <w:fldChar w:fldCharType="end"/>
      </w:r>
    </w:p>
    <w:p w14:paraId="162BE273">
      <w:pPr>
        <w:pStyle w:val="20"/>
        <w:numPr>
          <w:ilvl w:val="0"/>
          <w:numId w:val="12"/>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"_Toc71878894" </w:instrText>
      </w:r>
      <w:r>
        <w:fldChar w:fldCharType="separate"/>
      </w:r>
      <w:r>
        <w:rPr>
          <w:rStyle w:val="32"/>
          <w:rFonts w:hint="eastAsia"/>
          <w:lang w:bidi="mn-Mong-CN"/>
        </w:rPr>
        <w:t xml:space="preserve"> 加强信息基础设施建设</w:t>
      </w:r>
      <w:r>
        <w:tab/>
      </w:r>
      <w:r>
        <w:fldChar w:fldCharType="begin"/>
      </w:r>
      <w:r>
        <w:instrText xml:space="preserve"> PAGEREF _Toc71878894 \h </w:instrText>
      </w:r>
      <w:r>
        <w:fldChar w:fldCharType="separate"/>
      </w:r>
      <w:r>
        <w:t>64</w:t>
      </w:r>
      <w:r>
        <w:fldChar w:fldCharType="end"/>
      </w:r>
      <w:r>
        <w:fldChar w:fldCharType="end"/>
      </w:r>
    </w:p>
    <w:p w14:paraId="06A396B2">
      <w:pPr>
        <w:pStyle w:val="20"/>
        <w:numPr>
          <w:ilvl w:val="0"/>
          <w:numId w:val="12"/>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"_Toc71878895" </w:instrText>
      </w:r>
      <w:r>
        <w:fldChar w:fldCharType="separate"/>
      </w:r>
      <w:r>
        <w:rPr>
          <w:rStyle w:val="32"/>
          <w:rFonts w:hint="eastAsia"/>
          <w:lang w:bidi="mn-Mong-CN"/>
        </w:rPr>
        <w:t xml:space="preserve"> 加强电力基础设施建设</w:t>
      </w:r>
      <w:r>
        <w:tab/>
      </w:r>
      <w:r>
        <w:fldChar w:fldCharType="begin"/>
      </w:r>
      <w:r>
        <w:instrText xml:space="preserve"> PAGEREF _Toc71878895 \h </w:instrText>
      </w:r>
      <w:r>
        <w:fldChar w:fldCharType="separate"/>
      </w:r>
      <w:r>
        <w:t>66</w:t>
      </w:r>
      <w:r>
        <w:fldChar w:fldCharType="end"/>
      </w:r>
      <w:r>
        <w:fldChar w:fldCharType="end"/>
      </w:r>
    </w:p>
    <w:p w14:paraId="799A3159">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"_Toc71878896" </w:instrText>
      </w:r>
      <w:r>
        <w:fldChar w:fldCharType="separate"/>
      </w:r>
      <w:r>
        <w:rPr>
          <w:rStyle w:val="32"/>
          <w:rFonts w:hint="eastAsia"/>
        </w:rPr>
        <w:t>第十二章 绿色发展建设我国北方重要生态安全屏障</w:t>
      </w:r>
      <w:r>
        <w:tab/>
      </w:r>
      <w:r>
        <w:fldChar w:fldCharType="begin"/>
      </w:r>
      <w:r>
        <w:instrText xml:space="preserve"> PAGEREF _Toc71878896 \h </w:instrText>
      </w:r>
      <w:r>
        <w:fldChar w:fldCharType="separate"/>
      </w:r>
      <w:r>
        <w:t>67</w:t>
      </w:r>
      <w:r>
        <w:fldChar w:fldCharType="end"/>
      </w:r>
      <w:r>
        <w:fldChar w:fldCharType="end"/>
      </w:r>
    </w:p>
    <w:p w14:paraId="0294B3B3">
      <w:pPr>
        <w:pStyle w:val="20"/>
        <w:numPr>
          <w:ilvl w:val="0"/>
          <w:numId w:val="13"/>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"_Toc71878897" </w:instrText>
      </w:r>
      <w:r>
        <w:fldChar w:fldCharType="separate"/>
      </w:r>
      <w:r>
        <w:rPr>
          <w:rStyle w:val="32"/>
          <w:rFonts w:hint="eastAsia"/>
          <w:lang w:bidi="mn-Mong-CN"/>
        </w:rPr>
        <w:t xml:space="preserve"> 提升生态系统质量和稳定性</w:t>
      </w:r>
      <w:r>
        <w:tab/>
      </w:r>
      <w:r>
        <w:fldChar w:fldCharType="begin"/>
      </w:r>
      <w:r>
        <w:instrText xml:space="preserve"> PAGEREF _Toc71878897 \h </w:instrText>
      </w:r>
      <w:r>
        <w:fldChar w:fldCharType="separate"/>
      </w:r>
      <w:r>
        <w:t>67</w:t>
      </w:r>
      <w:r>
        <w:fldChar w:fldCharType="end"/>
      </w:r>
      <w:r>
        <w:fldChar w:fldCharType="end"/>
      </w:r>
    </w:p>
    <w:p w14:paraId="7237E474">
      <w:pPr>
        <w:pStyle w:val="20"/>
        <w:numPr>
          <w:ilvl w:val="0"/>
          <w:numId w:val="13"/>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"_Toc71878898" </w:instrText>
      </w:r>
      <w:r>
        <w:fldChar w:fldCharType="separate"/>
      </w:r>
      <w:r>
        <w:rPr>
          <w:rStyle w:val="32"/>
          <w:rFonts w:hint="eastAsia"/>
          <w:lang w:bidi="mn-Mong-CN"/>
        </w:rPr>
        <w:t xml:space="preserve"> 持续改善环境质量</w:t>
      </w:r>
      <w:r>
        <w:tab/>
      </w:r>
      <w:r>
        <w:fldChar w:fldCharType="begin"/>
      </w:r>
      <w:r>
        <w:instrText xml:space="preserve"> PAGEREF _Toc71878898 \h </w:instrText>
      </w:r>
      <w:r>
        <w:fldChar w:fldCharType="separate"/>
      </w:r>
      <w:r>
        <w:t>69</w:t>
      </w:r>
      <w:r>
        <w:fldChar w:fldCharType="end"/>
      </w:r>
      <w:r>
        <w:fldChar w:fldCharType="end"/>
      </w:r>
    </w:p>
    <w:p w14:paraId="344E6065">
      <w:pPr>
        <w:pStyle w:val="20"/>
        <w:numPr>
          <w:ilvl w:val="0"/>
          <w:numId w:val="13"/>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"_Toc71878899" </w:instrText>
      </w:r>
      <w:r>
        <w:fldChar w:fldCharType="separate"/>
      </w:r>
      <w:r>
        <w:rPr>
          <w:rStyle w:val="32"/>
          <w:rFonts w:hint="eastAsia"/>
          <w:lang w:bidi="mn-Mong-CN"/>
        </w:rPr>
        <w:t xml:space="preserve"> 提高资源利用效率</w:t>
      </w:r>
      <w:r>
        <w:tab/>
      </w:r>
      <w:r>
        <w:fldChar w:fldCharType="begin"/>
      </w:r>
      <w:r>
        <w:instrText xml:space="preserve"> PAGEREF _Toc71878899 \h </w:instrText>
      </w:r>
      <w:r>
        <w:fldChar w:fldCharType="separate"/>
      </w:r>
      <w:r>
        <w:t>71</w:t>
      </w:r>
      <w:r>
        <w:fldChar w:fldCharType="end"/>
      </w:r>
      <w:r>
        <w:fldChar w:fldCharType="end"/>
      </w:r>
    </w:p>
    <w:p w14:paraId="3784AE8D">
      <w:pPr>
        <w:pStyle w:val="20"/>
        <w:numPr>
          <w:ilvl w:val="0"/>
          <w:numId w:val="13"/>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"_Toc71878900" </w:instrText>
      </w:r>
      <w:r>
        <w:fldChar w:fldCharType="separate"/>
      </w:r>
      <w:r>
        <w:rPr>
          <w:rStyle w:val="32"/>
          <w:rFonts w:hint="eastAsia"/>
          <w:lang w:bidi="mn-Mong-CN"/>
        </w:rPr>
        <w:t xml:space="preserve"> 努力实现能耗双控和碳达峰、碳中和目标</w:t>
      </w:r>
      <w:r>
        <w:tab/>
      </w:r>
      <w:r>
        <w:fldChar w:fldCharType="begin"/>
      </w:r>
      <w:r>
        <w:instrText xml:space="preserve"> PAGEREF _Toc71878900 \h </w:instrText>
      </w:r>
      <w:r>
        <w:fldChar w:fldCharType="separate"/>
      </w:r>
      <w:r>
        <w:t>73</w:t>
      </w:r>
      <w:r>
        <w:fldChar w:fldCharType="end"/>
      </w:r>
      <w:r>
        <w:fldChar w:fldCharType="end"/>
      </w:r>
    </w:p>
    <w:p w14:paraId="489AFD0E">
      <w:pPr>
        <w:pStyle w:val="20"/>
        <w:numPr>
          <w:ilvl w:val="0"/>
          <w:numId w:val="13"/>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"_Toc71878901" </w:instrText>
      </w:r>
      <w:r>
        <w:fldChar w:fldCharType="separate"/>
      </w:r>
      <w:r>
        <w:rPr>
          <w:rStyle w:val="32"/>
          <w:rFonts w:hint="eastAsia"/>
          <w:lang w:bidi="mn-Mong-CN"/>
        </w:rPr>
        <w:t xml:space="preserve"> 落实生态文明制度</w:t>
      </w:r>
      <w:r>
        <w:tab/>
      </w:r>
      <w:r>
        <w:fldChar w:fldCharType="begin"/>
      </w:r>
      <w:r>
        <w:instrText xml:space="preserve"> PAGEREF _Toc71878901 \h </w:instrText>
      </w:r>
      <w:r>
        <w:fldChar w:fldCharType="separate"/>
      </w:r>
      <w:r>
        <w:t>75</w:t>
      </w:r>
      <w:r>
        <w:fldChar w:fldCharType="end"/>
      </w:r>
      <w:r>
        <w:fldChar w:fldCharType="end"/>
      </w:r>
    </w:p>
    <w:p w14:paraId="710AE1F3">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"_Toc71878902" </w:instrText>
      </w:r>
      <w:r>
        <w:fldChar w:fldCharType="separate"/>
      </w:r>
      <w:r>
        <w:rPr>
          <w:rStyle w:val="32"/>
          <w:rFonts w:hint="eastAsia"/>
        </w:rPr>
        <w:t>第十三章 深化改革增强高质量发展新动力</w:t>
      </w:r>
      <w:r>
        <w:tab/>
      </w:r>
      <w:r>
        <w:fldChar w:fldCharType="begin"/>
      </w:r>
      <w:r>
        <w:instrText xml:space="preserve"> PAGEREF _Toc71878902 \h </w:instrText>
      </w:r>
      <w:r>
        <w:fldChar w:fldCharType="separate"/>
      </w:r>
      <w:r>
        <w:t>77</w:t>
      </w:r>
      <w:r>
        <w:fldChar w:fldCharType="end"/>
      </w:r>
      <w:r>
        <w:fldChar w:fldCharType="end"/>
      </w:r>
    </w:p>
    <w:p w14:paraId="0877BFF8">
      <w:pPr>
        <w:pStyle w:val="20"/>
        <w:numPr>
          <w:ilvl w:val="0"/>
          <w:numId w:val="14"/>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"_Toc71878903" </w:instrText>
      </w:r>
      <w:r>
        <w:fldChar w:fldCharType="separate"/>
      </w:r>
      <w:r>
        <w:rPr>
          <w:rStyle w:val="32"/>
          <w:rFonts w:hint="eastAsia"/>
          <w:lang w:val="mn-Mong-CN" w:bidi="mn-Mong-CN"/>
        </w:rPr>
        <w:t xml:space="preserve"> 坚持两个毫不动摇</w:t>
      </w:r>
      <w:r>
        <w:tab/>
      </w:r>
      <w:r>
        <w:fldChar w:fldCharType="begin"/>
      </w:r>
      <w:r>
        <w:instrText xml:space="preserve"> PAGEREF _Toc71878903 \h </w:instrText>
      </w:r>
      <w:r>
        <w:fldChar w:fldCharType="separate"/>
      </w:r>
      <w:r>
        <w:t>77</w:t>
      </w:r>
      <w:r>
        <w:fldChar w:fldCharType="end"/>
      </w:r>
      <w:r>
        <w:fldChar w:fldCharType="end"/>
      </w:r>
    </w:p>
    <w:p w14:paraId="36AD4148">
      <w:pPr>
        <w:pStyle w:val="20"/>
        <w:numPr>
          <w:ilvl w:val="0"/>
          <w:numId w:val="14"/>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"_Toc71878904" </w:instrText>
      </w:r>
      <w:r>
        <w:fldChar w:fldCharType="separate"/>
      </w:r>
      <w:r>
        <w:rPr>
          <w:rStyle w:val="32"/>
          <w:rFonts w:hint="eastAsia"/>
          <w:lang w:bidi="mn-Mong-CN"/>
        </w:rPr>
        <w:t>深化重点领域改革</w:t>
      </w:r>
      <w:r>
        <w:tab/>
      </w:r>
      <w:r>
        <w:fldChar w:fldCharType="begin"/>
      </w:r>
      <w:r>
        <w:instrText xml:space="preserve"> PAGEREF _Toc71878904 \h </w:instrText>
      </w:r>
      <w:r>
        <w:fldChar w:fldCharType="separate"/>
      </w:r>
      <w:r>
        <w:t>78</w:t>
      </w:r>
      <w:r>
        <w:fldChar w:fldCharType="end"/>
      </w:r>
      <w:r>
        <w:fldChar w:fldCharType="end"/>
      </w:r>
    </w:p>
    <w:p w14:paraId="49FA3869">
      <w:pPr>
        <w:pStyle w:val="20"/>
        <w:numPr>
          <w:ilvl w:val="0"/>
          <w:numId w:val="14"/>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"_Toc71878905" </w:instrText>
      </w:r>
      <w:r>
        <w:fldChar w:fldCharType="separate"/>
      </w:r>
      <w:r>
        <w:rPr>
          <w:rStyle w:val="32"/>
          <w:rFonts w:hint="eastAsia"/>
          <w:lang w:val="zh-CN" w:bidi="mn-Mong-CN"/>
        </w:rPr>
        <w:t xml:space="preserve"> 构建一流营商环境</w:t>
      </w:r>
      <w:r>
        <w:tab/>
      </w:r>
      <w:r>
        <w:fldChar w:fldCharType="begin"/>
      </w:r>
      <w:r>
        <w:instrText xml:space="preserve"> PAGEREF _Toc71878905 \h </w:instrText>
      </w:r>
      <w:r>
        <w:fldChar w:fldCharType="separate"/>
      </w:r>
      <w:r>
        <w:t>79</w:t>
      </w:r>
      <w:r>
        <w:fldChar w:fldCharType="end"/>
      </w:r>
      <w:r>
        <w:fldChar w:fldCharType="end"/>
      </w:r>
    </w:p>
    <w:p w14:paraId="7AE6C917">
      <w:pPr>
        <w:pStyle w:val="20"/>
        <w:numPr>
          <w:ilvl w:val="0"/>
          <w:numId w:val="14"/>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"_Toc71878906" </w:instrText>
      </w:r>
      <w:r>
        <w:fldChar w:fldCharType="separate"/>
      </w:r>
      <w:r>
        <w:rPr>
          <w:rStyle w:val="32"/>
          <w:rFonts w:hint="eastAsia"/>
          <w:lang w:val="zh-CN" w:bidi="mn-Mong-CN"/>
        </w:rPr>
        <w:t xml:space="preserve"> 推进社会信用体系建设</w:t>
      </w:r>
      <w:r>
        <w:tab/>
      </w:r>
      <w:r>
        <w:fldChar w:fldCharType="begin"/>
      </w:r>
      <w:r>
        <w:instrText xml:space="preserve"> PAGEREF _Toc71878906 \h </w:instrText>
      </w:r>
      <w:r>
        <w:fldChar w:fldCharType="separate"/>
      </w:r>
      <w:r>
        <w:t>81</w:t>
      </w:r>
      <w:r>
        <w:fldChar w:fldCharType="end"/>
      </w:r>
      <w:r>
        <w:fldChar w:fldCharType="end"/>
      </w:r>
    </w:p>
    <w:p w14:paraId="5E7DFE1F">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"_Toc71878907" </w:instrText>
      </w:r>
      <w:r>
        <w:fldChar w:fldCharType="separate"/>
      </w:r>
      <w:r>
        <w:rPr>
          <w:rStyle w:val="32"/>
          <w:rFonts w:hint="eastAsia"/>
        </w:rPr>
        <w:t>第十四章 扩大内需服务融入新发展格局</w:t>
      </w:r>
      <w:r>
        <w:tab/>
      </w:r>
      <w:r>
        <w:fldChar w:fldCharType="begin"/>
      </w:r>
      <w:r>
        <w:instrText xml:space="preserve"> PAGEREF _Toc71878907 \h </w:instrText>
      </w:r>
      <w:r>
        <w:fldChar w:fldCharType="separate"/>
      </w:r>
      <w:r>
        <w:t>81</w:t>
      </w:r>
      <w:r>
        <w:fldChar w:fldCharType="end"/>
      </w:r>
      <w:r>
        <w:fldChar w:fldCharType="end"/>
      </w:r>
    </w:p>
    <w:p w14:paraId="1030D4C9">
      <w:pPr>
        <w:pStyle w:val="20"/>
        <w:numPr>
          <w:ilvl w:val="0"/>
          <w:numId w:val="15"/>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"_Toc71878908" </w:instrText>
      </w:r>
      <w:r>
        <w:fldChar w:fldCharType="separate"/>
      </w:r>
      <w:r>
        <w:rPr>
          <w:rStyle w:val="32"/>
          <w:rFonts w:hint="eastAsia"/>
          <w:lang w:bidi="mn-Mong-CN"/>
        </w:rPr>
        <w:t xml:space="preserve"> 发挥投资的拉动作用</w:t>
      </w:r>
      <w:r>
        <w:tab/>
      </w:r>
      <w:r>
        <w:fldChar w:fldCharType="begin"/>
      </w:r>
      <w:r>
        <w:instrText xml:space="preserve"> PAGEREF _Toc71878908 \h </w:instrText>
      </w:r>
      <w:r>
        <w:fldChar w:fldCharType="separate"/>
      </w:r>
      <w:r>
        <w:t>81</w:t>
      </w:r>
      <w:r>
        <w:fldChar w:fldCharType="end"/>
      </w:r>
      <w:r>
        <w:fldChar w:fldCharType="end"/>
      </w:r>
    </w:p>
    <w:p w14:paraId="4AAE139A">
      <w:pPr>
        <w:pStyle w:val="20"/>
        <w:numPr>
          <w:ilvl w:val="0"/>
          <w:numId w:val="15"/>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"_Toc71878909" </w:instrText>
      </w:r>
      <w:r>
        <w:fldChar w:fldCharType="separate"/>
      </w:r>
      <w:r>
        <w:rPr>
          <w:rStyle w:val="32"/>
          <w:rFonts w:hint="eastAsia"/>
          <w:lang w:bidi="mn-Mong-CN"/>
        </w:rPr>
        <w:t xml:space="preserve"> 提升消费的基础性作用</w:t>
      </w:r>
      <w:r>
        <w:tab/>
      </w:r>
      <w:r>
        <w:fldChar w:fldCharType="begin"/>
      </w:r>
      <w:r>
        <w:instrText xml:space="preserve"> PAGEREF _Toc71878909 \h </w:instrText>
      </w:r>
      <w:r>
        <w:fldChar w:fldCharType="separate"/>
      </w:r>
      <w:r>
        <w:t>83</w:t>
      </w:r>
      <w:r>
        <w:fldChar w:fldCharType="end"/>
      </w:r>
      <w:r>
        <w:fldChar w:fldCharType="end"/>
      </w:r>
    </w:p>
    <w:p w14:paraId="04B0F06D">
      <w:pPr>
        <w:pStyle w:val="20"/>
        <w:numPr>
          <w:ilvl w:val="0"/>
          <w:numId w:val="15"/>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"_Toc71878910" </w:instrText>
      </w:r>
      <w:r>
        <w:fldChar w:fldCharType="separate"/>
      </w:r>
      <w:r>
        <w:rPr>
          <w:rStyle w:val="32"/>
          <w:rFonts w:hint="eastAsia"/>
          <w:lang w:bidi="mn-Mong-CN"/>
        </w:rPr>
        <w:t xml:space="preserve"> 扩大国内区域合作</w:t>
      </w:r>
      <w:r>
        <w:tab/>
      </w:r>
      <w:r>
        <w:fldChar w:fldCharType="begin"/>
      </w:r>
      <w:r>
        <w:instrText xml:space="preserve"> PAGEREF _Toc71878910 \h </w:instrText>
      </w:r>
      <w:r>
        <w:fldChar w:fldCharType="separate"/>
      </w:r>
      <w:r>
        <w:t>85</w:t>
      </w:r>
      <w:r>
        <w:fldChar w:fldCharType="end"/>
      </w:r>
      <w:r>
        <w:fldChar w:fldCharType="end"/>
      </w:r>
    </w:p>
    <w:p w14:paraId="3BCCFE8E">
      <w:pPr>
        <w:pStyle w:val="20"/>
        <w:numPr>
          <w:ilvl w:val="0"/>
          <w:numId w:val="15"/>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"_Toc71878911" </w:instrText>
      </w:r>
      <w:r>
        <w:fldChar w:fldCharType="separate"/>
      </w:r>
      <w:r>
        <w:rPr>
          <w:rStyle w:val="32"/>
          <w:rFonts w:hint="eastAsia"/>
          <w:lang w:bidi="mn-Mong-CN"/>
        </w:rPr>
        <w:t xml:space="preserve"> 积极培育对外开放新优势</w:t>
      </w:r>
      <w:r>
        <w:tab/>
      </w:r>
      <w:r>
        <w:fldChar w:fldCharType="begin"/>
      </w:r>
      <w:r>
        <w:instrText xml:space="preserve"> PAGEREF _Toc71878911 \h </w:instrText>
      </w:r>
      <w:r>
        <w:fldChar w:fldCharType="separate"/>
      </w:r>
      <w:r>
        <w:t>86</w:t>
      </w:r>
      <w:r>
        <w:fldChar w:fldCharType="end"/>
      </w:r>
      <w:r>
        <w:fldChar w:fldCharType="end"/>
      </w:r>
    </w:p>
    <w:p w14:paraId="6DA9D116">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"_Toc71878912" </w:instrText>
      </w:r>
      <w:r>
        <w:fldChar w:fldCharType="separate"/>
      </w:r>
      <w:r>
        <w:rPr>
          <w:rStyle w:val="32"/>
          <w:rFonts w:hint="eastAsia"/>
        </w:rPr>
        <w:t>第十五章 聚焦民生全面增进人民福祉</w:t>
      </w:r>
      <w:r>
        <w:tab/>
      </w:r>
      <w:r>
        <w:fldChar w:fldCharType="begin"/>
      </w:r>
      <w:r>
        <w:instrText xml:space="preserve"> PAGEREF _Toc71878912 \h </w:instrText>
      </w:r>
      <w:r>
        <w:fldChar w:fldCharType="separate"/>
      </w:r>
      <w:r>
        <w:t>88</w:t>
      </w:r>
      <w:r>
        <w:fldChar w:fldCharType="end"/>
      </w:r>
      <w:r>
        <w:fldChar w:fldCharType="end"/>
      </w:r>
    </w:p>
    <w:p w14:paraId="02749E2C">
      <w:pPr>
        <w:pStyle w:val="20"/>
        <w:numPr>
          <w:ilvl w:val="0"/>
          <w:numId w:val="1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"_Toc71878913" </w:instrText>
      </w:r>
      <w:r>
        <w:fldChar w:fldCharType="separate"/>
      </w:r>
      <w:r>
        <w:rPr>
          <w:rStyle w:val="32"/>
          <w:rFonts w:hint="eastAsia"/>
          <w:lang w:bidi="mn-Mong-CN"/>
        </w:rPr>
        <w:t xml:space="preserve"> 提高居民收入水平</w:t>
      </w:r>
      <w:r>
        <w:tab/>
      </w:r>
      <w:r>
        <w:fldChar w:fldCharType="begin"/>
      </w:r>
      <w:r>
        <w:instrText xml:space="preserve"> PAGEREF _Toc71878913 \h </w:instrText>
      </w:r>
      <w:r>
        <w:fldChar w:fldCharType="separate"/>
      </w:r>
      <w:r>
        <w:t>88</w:t>
      </w:r>
      <w:r>
        <w:fldChar w:fldCharType="end"/>
      </w:r>
      <w:r>
        <w:fldChar w:fldCharType="end"/>
      </w:r>
    </w:p>
    <w:p w14:paraId="279448ED">
      <w:pPr>
        <w:pStyle w:val="20"/>
        <w:numPr>
          <w:ilvl w:val="0"/>
          <w:numId w:val="1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"_Toc71878914" </w:instrText>
      </w:r>
      <w:r>
        <w:fldChar w:fldCharType="separate"/>
      </w:r>
      <w:r>
        <w:rPr>
          <w:rStyle w:val="32"/>
          <w:rFonts w:hint="eastAsia"/>
          <w:lang w:bidi="mn-Mong-CN"/>
        </w:rPr>
        <w:t xml:space="preserve"> 实现更高质量就业</w:t>
      </w:r>
      <w:r>
        <w:tab/>
      </w:r>
      <w:r>
        <w:fldChar w:fldCharType="begin"/>
      </w:r>
      <w:r>
        <w:instrText xml:space="preserve"> PAGEREF _Toc71878914 \h </w:instrText>
      </w:r>
      <w:r>
        <w:fldChar w:fldCharType="separate"/>
      </w:r>
      <w:r>
        <w:t>89</w:t>
      </w:r>
      <w:r>
        <w:fldChar w:fldCharType="end"/>
      </w:r>
      <w:r>
        <w:fldChar w:fldCharType="end"/>
      </w:r>
    </w:p>
    <w:p w14:paraId="2A8ED975">
      <w:pPr>
        <w:pStyle w:val="20"/>
        <w:numPr>
          <w:ilvl w:val="0"/>
          <w:numId w:val="1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"_Toc71878915" </w:instrText>
      </w:r>
      <w:r>
        <w:fldChar w:fldCharType="separate"/>
      </w:r>
      <w:r>
        <w:rPr>
          <w:rStyle w:val="32"/>
          <w:rFonts w:hint="eastAsia"/>
          <w:lang w:bidi="mn-Mong-CN"/>
        </w:rPr>
        <w:t xml:space="preserve"> 促进教育事业发展</w:t>
      </w:r>
      <w:r>
        <w:tab/>
      </w:r>
      <w:r>
        <w:fldChar w:fldCharType="begin"/>
      </w:r>
      <w:r>
        <w:instrText xml:space="preserve"> PAGEREF _Toc71878915 \h </w:instrText>
      </w:r>
      <w:r>
        <w:fldChar w:fldCharType="separate"/>
      </w:r>
      <w:r>
        <w:t>90</w:t>
      </w:r>
      <w:r>
        <w:fldChar w:fldCharType="end"/>
      </w:r>
      <w:r>
        <w:fldChar w:fldCharType="end"/>
      </w:r>
    </w:p>
    <w:p w14:paraId="0FAD8805">
      <w:pPr>
        <w:pStyle w:val="20"/>
        <w:numPr>
          <w:ilvl w:val="0"/>
          <w:numId w:val="1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"_Toc71878916" </w:instrText>
      </w:r>
      <w:r>
        <w:fldChar w:fldCharType="separate"/>
      </w:r>
      <w:r>
        <w:rPr>
          <w:rStyle w:val="32"/>
          <w:rFonts w:hint="eastAsia"/>
          <w:lang w:bidi="mn-Mong-CN"/>
        </w:rPr>
        <w:t xml:space="preserve"> 加强社会主义精神文明建设</w:t>
      </w:r>
      <w:r>
        <w:tab/>
      </w:r>
      <w:r>
        <w:fldChar w:fldCharType="begin"/>
      </w:r>
      <w:r>
        <w:instrText xml:space="preserve"> PAGEREF _Toc71878916 \h </w:instrText>
      </w:r>
      <w:r>
        <w:fldChar w:fldCharType="separate"/>
      </w:r>
      <w:r>
        <w:t>91</w:t>
      </w:r>
      <w:r>
        <w:fldChar w:fldCharType="end"/>
      </w:r>
      <w:r>
        <w:fldChar w:fldCharType="end"/>
      </w:r>
    </w:p>
    <w:p w14:paraId="40C7D05E">
      <w:pPr>
        <w:pStyle w:val="20"/>
        <w:numPr>
          <w:ilvl w:val="0"/>
          <w:numId w:val="1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"_Toc71878917" </w:instrText>
      </w:r>
      <w:r>
        <w:fldChar w:fldCharType="separate"/>
      </w:r>
      <w:r>
        <w:rPr>
          <w:rStyle w:val="32"/>
          <w:rFonts w:hint="eastAsia"/>
          <w:lang w:bidi="mn-Mong-CN"/>
        </w:rPr>
        <w:t xml:space="preserve"> 提升公共文化服务水平</w:t>
      </w:r>
      <w:r>
        <w:tab/>
      </w:r>
      <w:r>
        <w:fldChar w:fldCharType="begin"/>
      </w:r>
      <w:r>
        <w:instrText xml:space="preserve"> PAGEREF _Toc71878917 \h </w:instrText>
      </w:r>
      <w:r>
        <w:fldChar w:fldCharType="separate"/>
      </w:r>
      <w:r>
        <w:t>93</w:t>
      </w:r>
      <w:r>
        <w:fldChar w:fldCharType="end"/>
      </w:r>
      <w:r>
        <w:fldChar w:fldCharType="end"/>
      </w:r>
    </w:p>
    <w:p w14:paraId="10D0526F">
      <w:pPr>
        <w:pStyle w:val="20"/>
        <w:numPr>
          <w:ilvl w:val="0"/>
          <w:numId w:val="1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"_Toc71878918" </w:instrText>
      </w:r>
      <w:r>
        <w:fldChar w:fldCharType="separate"/>
      </w:r>
      <w:r>
        <w:rPr>
          <w:rStyle w:val="32"/>
          <w:rFonts w:hint="eastAsia" w:hAnsi="Times New Roman"/>
          <w:lang w:bidi="mn-Mong-CN"/>
        </w:rPr>
        <w:t>深化健康达茂行动</w:t>
      </w:r>
      <w:r>
        <w:tab/>
      </w:r>
      <w:r>
        <w:fldChar w:fldCharType="begin"/>
      </w:r>
      <w:r>
        <w:instrText xml:space="preserve"> PAGEREF _Toc71878918 \h </w:instrText>
      </w:r>
      <w:r>
        <w:fldChar w:fldCharType="separate"/>
      </w:r>
      <w:r>
        <w:t>95</w:t>
      </w:r>
      <w:r>
        <w:fldChar w:fldCharType="end"/>
      </w:r>
      <w:r>
        <w:fldChar w:fldCharType="end"/>
      </w:r>
    </w:p>
    <w:p w14:paraId="7AF21971">
      <w:pPr>
        <w:pStyle w:val="20"/>
        <w:numPr>
          <w:ilvl w:val="0"/>
          <w:numId w:val="1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"_Toc71878919" </w:instrText>
      </w:r>
      <w:r>
        <w:fldChar w:fldCharType="separate"/>
      </w:r>
      <w:r>
        <w:rPr>
          <w:rStyle w:val="32"/>
          <w:rFonts w:hint="eastAsia"/>
          <w:lang w:bidi="mn-Mong-CN"/>
        </w:rPr>
        <w:t xml:space="preserve"> 积极应对人口老龄化</w:t>
      </w:r>
      <w:r>
        <w:tab/>
      </w:r>
      <w:r>
        <w:fldChar w:fldCharType="begin"/>
      </w:r>
      <w:r>
        <w:instrText xml:space="preserve"> PAGEREF _Toc71878919 \h </w:instrText>
      </w:r>
      <w:r>
        <w:fldChar w:fldCharType="separate"/>
      </w:r>
      <w:r>
        <w:t>96</w:t>
      </w:r>
      <w:r>
        <w:fldChar w:fldCharType="end"/>
      </w:r>
      <w:r>
        <w:fldChar w:fldCharType="end"/>
      </w:r>
    </w:p>
    <w:p w14:paraId="24D15C66">
      <w:pPr>
        <w:pStyle w:val="20"/>
        <w:numPr>
          <w:ilvl w:val="0"/>
          <w:numId w:val="16"/>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"_Toc71878920" </w:instrText>
      </w:r>
      <w:r>
        <w:fldChar w:fldCharType="separate"/>
      </w:r>
      <w:r>
        <w:rPr>
          <w:rStyle w:val="32"/>
          <w:rFonts w:hint="eastAsia"/>
          <w:lang w:bidi="mn-Mong-CN"/>
        </w:rPr>
        <w:t xml:space="preserve"> 健全多层次社会保障体系</w:t>
      </w:r>
      <w:r>
        <w:tab/>
      </w:r>
      <w:r>
        <w:fldChar w:fldCharType="begin"/>
      </w:r>
      <w:r>
        <w:instrText xml:space="preserve"> PAGEREF _Toc71878920 \h </w:instrText>
      </w:r>
      <w:r>
        <w:fldChar w:fldCharType="separate"/>
      </w:r>
      <w:r>
        <w:t>97</w:t>
      </w:r>
      <w:r>
        <w:fldChar w:fldCharType="end"/>
      </w:r>
      <w:r>
        <w:fldChar w:fldCharType="end"/>
      </w:r>
    </w:p>
    <w:p w14:paraId="38B70499">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"_Toc71878921" </w:instrText>
      </w:r>
      <w:r>
        <w:fldChar w:fldCharType="separate"/>
      </w:r>
      <w:r>
        <w:rPr>
          <w:rStyle w:val="32"/>
          <w:rFonts w:hint="eastAsia"/>
        </w:rPr>
        <w:t>第十六章 安全发展提升社会治理和民主法治水平</w:t>
      </w:r>
      <w:r>
        <w:tab/>
      </w:r>
      <w:r>
        <w:fldChar w:fldCharType="begin"/>
      </w:r>
      <w:r>
        <w:instrText xml:space="preserve"> PAGEREF _Toc71878921 \h </w:instrText>
      </w:r>
      <w:r>
        <w:fldChar w:fldCharType="separate"/>
      </w:r>
      <w:r>
        <w:t>101</w:t>
      </w:r>
      <w:r>
        <w:fldChar w:fldCharType="end"/>
      </w:r>
      <w:r>
        <w:fldChar w:fldCharType="end"/>
      </w:r>
    </w:p>
    <w:p w14:paraId="47825030">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"_Toc71878922" </w:instrText>
      </w:r>
      <w:r>
        <w:fldChar w:fldCharType="separate"/>
      </w:r>
      <w:r>
        <w:rPr>
          <w:rStyle w:val="32"/>
          <w:rFonts w:hint="eastAsia"/>
          <w:lang w:val="mn-Mong-CN" w:bidi="mn-Mong-CN"/>
        </w:rPr>
        <w:t xml:space="preserve"> 扎实推进政治安全</w:t>
      </w:r>
      <w:r>
        <w:tab/>
      </w:r>
      <w:r>
        <w:fldChar w:fldCharType="begin"/>
      </w:r>
      <w:r>
        <w:instrText xml:space="preserve"> PAGEREF _Toc71878922 \h </w:instrText>
      </w:r>
      <w:r>
        <w:fldChar w:fldCharType="separate"/>
      </w:r>
      <w:r>
        <w:t>101</w:t>
      </w:r>
      <w:r>
        <w:fldChar w:fldCharType="end"/>
      </w:r>
      <w:r>
        <w:fldChar w:fldCharType="end"/>
      </w:r>
    </w:p>
    <w:p w14:paraId="4401CB37">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"_Toc71878923" </w:instrText>
      </w:r>
      <w:r>
        <w:fldChar w:fldCharType="separate"/>
      </w:r>
      <w:r>
        <w:rPr>
          <w:rStyle w:val="32"/>
          <w:rFonts w:hint="eastAsia"/>
          <w:lang w:bidi="mn-Mong-CN"/>
        </w:rPr>
        <w:t>确保经济安全</w:t>
      </w:r>
      <w:r>
        <w:tab/>
      </w:r>
      <w:r>
        <w:fldChar w:fldCharType="begin"/>
      </w:r>
      <w:r>
        <w:instrText xml:space="preserve"> PAGEREF _Toc71878923 \h </w:instrText>
      </w:r>
      <w:r>
        <w:fldChar w:fldCharType="separate"/>
      </w:r>
      <w:r>
        <w:t>101</w:t>
      </w:r>
      <w:r>
        <w:fldChar w:fldCharType="end"/>
      </w:r>
      <w:r>
        <w:fldChar w:fldCharType="end"/>
      </w:r>
    </w:p>
    <w:p w14:paraId="7FBB8A1D">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"_Toc71878924" </w:instrText>
      </w:r>
      <w:r>
        <w:fldChar w:fldCharType="separate"/>
      </w:r>
      <w:r>
        <w:rPr>
          <w:rStyle w:val="32"/>
          <w:rFonts w:hint="eastAsia"/>
          <w:lang w:bidi="mn-Mong-CN"/>
        </w:rPr>
        <w:t>保障人民生命财产安全</w:t>
      </w:r>
      <w:r>
        <w:tab/>
      </w:r>
      <w:r>
        <w:fldChar w:fldCharType="begin"/>
      </w:r>
      <w:r>
        <w:instrText xml:space="preserve"> PAGEREF _Toc71878924 \h </w:instrText>
      </w:r>
      <w:r>
        <w:fldChar w:fldCharType="separate"/>
      </w:r>
      <w:r>
        <w:t>102</w:t>
      </w:r>
      <w:r>
        <w:fldChar w:fldCharType="end"/>
      </w:r>
      <w:r>
        <w:fldChar w:fldCharType="end"/>
      </w:r>
    </w:p>
    <w:p w14:paraId="3BED080B">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"_Toc71878925" </w:instrText>
      </w:r>
      <w:r>
        <w:fldChar w:fldCharType="separate"/>
      </w:r>
      <w:r>
        <w:rPr>
          <w:rStyle w:val="32"/>
          <w:rFonts w:hint="eastAsia"/>
          <w:lang w:bidi="mn-Mong-CN"/>
        </w:rPr>
        <w:t xml:space="preserve"> 建立完善国防动员体系</w:t>
      </w:r>
      <w:r>
        <w:tab/>
      </w:r>
      <w:r>
        <w:fldChar w:fldCharType="begin"/>
      </w:r>
      <w:r>
        <w:instrText xml:space="preserve"> PAGEREF _Toc71878925 \h </w:instrText>
      </w:r>
      <w:r>
        <w:fldChar w:fldCharType="separate"/>
      </w:r>
      <w:r>
        <w:t>102</w:t>
      </w:r>
      <w:r>
        <w:fldChar w:fldCharType="end"/>
      </w:r>
      <w:r>
        <w:fldChar w:fldCharType="end"/>
      </w:r>
    </w:p>
    <w:p w14:paraId="72E36DE9">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"_Toc71878926" </w:instrText>
      </w:r>
      <w:r>
        <w:fldChar w:fldCharType="separate"/>
      </w:r>
      <w:r>
        <w:rPr>
          <w:rStyle w:val="32"/>
          <w:rFonts w:hint="eastAsia"/>
          <w:lang w:bidi="mn-Mong-CN"/>
        </w:rPr>
        <w:t xml:space="preserve"> 加强安全生产管理</w:t>
      </w:r>
      <w:r>
        <w:tab/>
      </w:r>
      <w:r>
        <w:fldChar w:fldCharType="begin"/>
      </w:r>
      <w:r>
        <w:instrText xml:space="preserve"> PAGEREF _Toc71878926 \h </w:instrText>
      </w:r>
      <w:r>
        <w:fldChar w:fldCharType="separate"/>
      </w:r>
      <w:r>
        <w:t>103</w:t>
      </w:r>
      <w:r>
        <w:fldChar w:fldCharType="end"/>
      </w:r>
      <w:r>
        <w:fldChar w:fldCharType="end"/>
      </w:r>
    </w:p>
    <w:p w14:paraId="3A4EDE4D">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"_Toc71878927" </w:instrText>
      </w:r>
      <w:r>
        <w:fldChar w:fldCharType="separate"/>
      </w:r>
      <w:r>
        <w:rPr>
          <w:rStyle w:val="32"/>
          <w:rFonts w:hint="eastAsia"/>
          <w:lang w:bidi="mn-Mong-CN"/>
        </w:rPr>
        <w:t xml:space="preserve"> 提高食品药品安全保障水平</w:t>
      </w:r>
      <w:r>
        <w:tab/>
      </w:r>
      <w:r>
        <w:fldChar w:fldCharType="begin"/>
      </w:r>
      <w:r>
        <w:instrText xml:space="preserve"> PAGEREF _Toc71878927 \h </w:instrText>
      </w:r>
      <w:r>
        <w:fldChar w:fldCharType="separate"/>
      </w:r>
      <w:r>
        <w:t>104</w:t>
      </w:r>
      <w:r>
        <w:fldChar w:fldCharType="end"/>
      </w:r>
      <w:r>
        <w:fldChar w:fldCharType="end"/>
      </w:r>
    </w:p>
    <w:p w14:paraId="5DE1424F">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"_Toc71878928" </w:instrText>
      </w:r>
      <w:r>
        <w:fldChar w:fldCharType="separate"/>
      </w:r>
      <w:r>
        <w:rPr>
          <w:rStyle w:val="32"/>
          <w:rFonts w:hint="eastAsia"/>
          <w:lang w:bidi="mn-Mong-CN"/>
        </w:rPr>
        <w:t xml:space="preserve"> 加强和创新社会治理</w:t>
      </w:r>
      <w:r>
        <w:tab/>
      </w:r>
      <w:r>
        <w:fldChar w:fldCharType="begin"/>
      </w:r>
      <w:r>
        <w:instrText xml:space="preserve"> PAGEREF _Toc71878928 \h </w:instrText>
      </w:r>
      <w:r>
        <w:fldChar w:fldCharType="separate"/>
      </w:r>
      <w:r>
        <w:t>104</w:t>
      </w:r>
      <w:r>
        <w:fldChar w:fldCharType="end"/>
      </w:r>
      <w:r>
        <w:fldChar w:fldCharType="end"/>
      </w:r>
    </w:p>
    <w:p w14:paraId="7FFD2042">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"_Toc71878929" </w:instrText>
      </w:r>
      <w:r>
        <w:fldChar w:fldCharType="separate"/>
      </w:r>
      <w:r>
        <w:rPr>
          <w:rStyle w:val="32"/>
          <w:rFonts w:hint="eastAsia"/>
          <w:lang w:bidi="mn-Mong-CN"/>
        </w:rPr>
        <w:t xml:space="preserve"> 增强中华民族共同体意识</w:t>
      </w:r>
      <w:r>
        <w:tab/>
      </w:r>
      <w:r>
        <w:fldChar w:fldCharType="begin"/>
      </w:r>
      <w:r>
        <w:instrText xml:space="preserve"> PAGEREF _Toc71878929 \h </w:instrText>
      </w:r>
      <w:r>
        <w:fldChar w:fldCharType="separate"/>
      </w:r>
      <w:r>
        <w:t>108</w:t>
      </w:r>
      <w:r>
        <w:fldChar w:fldCharType="end"/>
      </w:r>
      <w:r>
        <w:fldChar w:fldCharType="end"/>
      </w:r>
    </w:p>
    <w:p w14:paraId="20AA153A">
      <w:pPr>
        <w:pStyle w:val="20"/>
        <w:numPr>
          <w:ilvl w:val="0"/>
          <w:numId w:val="17"/>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"_Toc71878930" </w:instrText>
      </w:r>
      <w:r>
        <w:fldChar w:fldCharType="separate"/>
      </w:r>
      <w:r>
        <w:rPr>
          <w:rStyle w:val="32"/>
          <w:rFonts w:hint="eastAsia"/>
          <w:lang w:bidi="mn-Mong-CN"/>
        </w:rPr>
        <w:t xml:space="preserve"> 巩固和发展民族团结大局</w:t>
      </w:r>
      <w:r>
        <w:tab/>
      </w:r>
      <w:r>
        <w:fldChar w:fldCharType="begin"/>
      </w:r>
      <w:r>
        <w:instrText xml:space="preserve"> PAGEREF _Toc71878930 \h </w:instrText>
      </w:r>
      <w:r>
        <w:fldChar w:fldCharType="separate"/>
      </w:r>
      <w:r>
        <w:t>109</w:t>
      </w:r>
      <w:r>
        <w:fldChar w:fldCharType="end"/>
      </w:r>
      <w:r>
        <w:fldChar w:fldCharType="end"/>
      </w:r>
    </w:p>
    <w:p w14:paraId="434852E0">
      <w:pPr>
        <w:pStyle w:val="17"/>
        <w:tabs>
          <w:tab w:val="right" w:leader="dot" w:pos="8296"/>
        </w:tabs>
        <w:rPr>
          <w:rFonts w:asciiTheme="minorHAnsi" w:hAnsiTheme="minorHAnsi" w:eastAsiaTheme="minorEastAsia" w:cstheme="minorBidi"/>
          <w:b w:val="0"/>
          <w:kern w:val="2"/>
          <w:sz w:val="21"/>
        </w:rPr>
      </w:pPr>
      <w:r>
        <w:fldChar w:fldCharType="begin"/>
      </w:r>
      <w:r>
        <w:instrText xml:space="preserve"> HYPERLINK \l "_Toc71878931" </w:instrText>
      </w:r>
      <w:r>
        <w:fldChar w:fldCharType="separate"/>
      </w:r>
      <w:r>
        <w:rPr>
          <w:rStyle w:val="32"/>
          <w:rFonts w:hint="eastAsia"/>
        </w:rPr>
        <w:t>第十七章 坚持党的领导保障规划顺利实施</w:t>
      </w:r>
      <w:r>
        <w:tab/>
      </w:r>
      <w:r>
        <w:fldChar w:fldCharType="begin"/>
      </w:r>
      <w:r>
        <w:instrText xml:space="preserve"> PAGEREF _Toc71878931 \h </w:instrText>
      </w:r>
      <w:r>
        <w:fldChar w:fldCharType="separate"/>
      </w:r>
      <w:r>
        <w:t>110</w:t>
      </w:r>
      <w:r>
        <w:fldChar w:fldCharType="end"/>
      </w:r>
      <w:r>
        <w:fldChar w:fldCharType="end"/>
      </w:r>
    </w:p>
    <w:p w14:paraId="73621DE1">
      <w:pPr>
        <w:pStyle w:val="20"/>
        <w:numPr>
          <w:ilvl w:val="0"/>
          <w:numId w:val="18"/>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"_Toc71878932" </w:instrText>
      </w:r>
      <w:r>
        <w:fldChar w:fldCharType="separate"/>
      </w:r>
      <w:r>
        <w:rPr>
          <w:rStyle w:val="32"/>
          <w:rFonts w:hint="eastAsia"/>
          <w:lang w:val="zh-CN" w:bidi="mn-Mong-CN"/>
        </w:rPr>
        <w:t xml:space="preserve"> 坚持党的集中统一领导</w:t>
      </w:r>
      <w:r>
        <w:tab/>
      </w:r>
      <w:r>
        <w:fldChar w:fldCharType="begin"/>
      </w:r>
      <w:r>
        <w:instrText xml:space="preserve"> PAGEREF _Toc71878932 \h </w:instrText>
      </w:r>
      <w:r>
        <w:fldChar w:fldCharType="separate"/>
      </w:r>
      <w:r>
        <w:t>110</w:t>
      </w:r>
      <w:r>
        <w:fldChar w:fldCharType="end"/>
      </w:r>
      <w:r>
        <w:fldChar w:fldCharType="end"/>
      </w:r>
    </w:p>
    <w:p w14:paraId="2D2B2CEF">
      <w:pPr>
        <w:pStyle w:val="20"/>
        <w:numPr>
          <w:ilvl w:val="0"/>
          <w:numId w:val="18"/>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"_Toc71878933" </w:instrText>
      </w:r>
      <w:r>
        <w:fldChar w:fldCharType="separate"/>
      </w:r>
      <w:r>
        <w:rPr>
          <w:rStyle w:val="32"/>
          <w:rFonts w:hint="eastAsia"/>
          <w:lang w:bidi="mn-Mong-CN"/>
        </w:rPr>
        <w:t xml:space="preserve"> 全面从严治党</w:t>
      </w:r>
      <w:r>
        <w:tab/>
      </w:r>
      <w:r>
        <w:fldChar w:fldCharType="begin"/>
      </w:r>
      <w:r>
        <w:instrText xml:space="preserve"> PAGEREF _Toc71878933 \h </w:instrText>
      </w:r>
      <w:r>
        <w:fldChar w:fldCharType="separate"/>
      </w:r>
      <w:r>
        <w:t>110</w:t>
      </w:r>
      <w:r>
        <w:fldChar w:fldCharType="end"/>
      </w:r>
      <w:r>
        <w:fldChar w:fldCharType="end"/>
      </w:r>
    </w:p>
    <w:p w14:paraId="42079F1F">
      <w:pPr>
        <w:pStyle w:val="20"/>
        <w:numPr>
          <w:ilvl w:val="0"/>
          <w:numId w:val="18"/>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"_Toc71878934" </w:instrText>
      </w:r>
      <w:r>
        <w:fldChar w:fldCharType="separate"/>
      </w:r>
      <w:r>
        <w:rPr>
          <w:rStyle w:val="32"/>
          <w:rFonts w:hint="eastAsia"/>
          <w:lang w:bidi="mn-Mong-CN"/>
        </w:rPr>
        <w:t xml:space="preserve"> 发挥规划战略导向作用</w:t>
      </w:r>
      <w:r>
        <w:tab/>
      </w:r>
      <w:r>
        <w:fldChar w:fldCharType="begin"/>
      </w:r>
      <w:r>
        <w:instrText xml:space="preserve"> PAGEREF _Toc71878934 \h </w:instrText>
      </w:r>
      <w:r>
        <w:fldChar w:fldCharType="separate"/>
      </w:r>
      <w:r>
        <w:t>111</w:t>
      </w:r>
      <w:r>
        <w:fldChar w:fldCharType="end"/>
      </w:r>
      <w:r>
        <w:fldChar w:fldCharType="end"/>
      </w:r>
    </w:p>
    <w:p w14:paraId="68A07C90">
      <w:pPr>
        <w:pStyle w:val="20"/>
        <w:numPr>
          <w:ilvl w:val="0"/>
          <w:numId w:val="18"/>
        </w:numPr>
        <w:tabs>
          <w:tab w:val="right" w:leader="dot" w:pos="8296"/>
        </w:tabs>
        <w:ind w:leftChars="0"/>
        <w:rPr>
          <w:rFonts w:asciiTheme="minorHAnsi" w:hAnsiTheme="minorHAnsi" w:eastAsiaTheme="minorEastAsia" w:cstheme="minorBidi"/>
          <w:kern w:val="2"/>
          <w:sz w:val="21"/>
        </w:rPr>
      </w:pPr>
      <w:r>
        <w:fldChar w:fldCharType="begin"/>
      </w:r>
      <w:r>
        <w:instrText xml:space="preserve"> HYPERLINK \l "_Toc71878935" </w:instrText>
      </w:r>
      <w:r>
        <w:fldChar w:fldCharType="separate"/>
      </w:r>
      <w:r>
        <w:rPr>
          <w:rStyle w:val="32"/>
          <w:rFonts w:hint="eastAsia"/>
          <w:lang w:bidi="mn-Mong-CN"/>
        </w:rPr>
        <w:t xml:space="preserve"> 健全规划贯彻落实机制</w:t>
      </w:r>
      <w:r>
        <w:tab/>
      </w:r>
      <w:r>
        <w:fldChar w:fldCharType="begin"/>
      </w:r>
      <w:r>
        <w:instrText xml:space="preserve"> PAGEREF _Toc71878935 \h </w:instrText>
      </w:r>
      <w:r>
        <w:fldChar w:fldCharType="separate"/>
      </w:r>
      <w:r>
        <w:t>112</w:t>
      </w:r>
      <w:r>
        <w:fldChar w:fldCharType="end"/>
      </w:r>
      <w:r>
        <w:fldChar w:fldCharType="end"/>
      </w:r>
    </w:p>
    <w:p w14:paraId="4AAD4703">
      <w:pPr>
        <w:widowControl w:val="0"/>
        <w:adjustRightInd/>
        <w:snapToGrid/>
        <w:spacing w:line="640" w:lineRule="exact"/>
        <w:ind w:firstLine="420" w:firstLineChars="200"/>
        <w:jc w:val="both"/>
        <w:rPr>
          <w:rFonts w:ascii="仿宋" w:hAnsi="仿宋" w:cs="仿宋" w:eastAsiaTheme="minorEastAsia"/>
          <w:kern w:val="2"/>
          <w:sz w:val="32"/>
          <w:szCs w:val="32"/>
        </w:rPr>
        <w:sectPr>
          <w:pgSz w:w="11906" w:h="16838"/>
          <w:pgMar w:top="1440" w:right="1800" w:bottom="1440" w:left="1800" w:header="851" w:footer="992" w:gutter="0"/>
          <w:pgNumType w:fmt="numberInDash"/>
          <w:cols w:space="425" w:num="1"/>
          <w:docGrid w:type="lines" w:linePitch="312" w:charSpace="0"/>
        </w:sectPr>
      </w:pPr>
      <w:r>
        <w:rPr>
          <w:rFonts w:asciiTheme="minorEastAsia" w:hAnsiTheme="minorEastAsia" w:eastAsiaTheme="minorEastAsia" w:cstheme="minorEastAsia"/>
          <w:kern w:val="2"/>
          <w:szCs w:val="28"/>
        </w:rPr>
        <w:fldChar w:fldCharType="end"/>
      </w:r>
    </w:p>
    <w:p w14:paraId="67CEAAF3">
      <w:pPr>
        <w:widowControl w:val="0"/>
        <w:adjustRightInd/>
        <w:snapToGrid/>
        <w:spacing w:line="640" w:lineRule="exact"/>
        <w:ind w:firstLine="320" w:firstLineChars="100"/>
        <w:jc w:val="both"/>
        <w:rPr>
          <w:rFonts w:ascii="仿宋_GB2312" w:hAnsi="仿宋" w:eastAsia="仿宋_GB2312" w:cs="仿宋"/>
          <w:sz w:val="32"/>
          <w:szCs w:val="32"/>
        </w:rPr>
      </w:pPr>
      <w:r>
        <w:rPr>
          <w:rFonts w:hint="eastAsia" w:ascii="仿宋_GB2312" w:hAnsi="仿宋" w:eastAsia="仿宋_GB2312" w:cs="仿宋"/>
          <w:kern w:val="2"/>
          <w:sz w:val="32"/>
          <w:szCs w:val="32"/>
        </w:rPr>
        <w:t>“十四五”时期（2021年-2025年）</w:t>
      </w:r>
      <w:r>
        <w:rPr>
          <w:rFonts w:hint="eastAsia" w:ascii="仿宋_GB2312" w:hAnsi="Times New Roman" w:eastAsia="仿宋_GB2312"/>
          <w:kern w:val="2"/>
          <w:sz w:val="32"/>
          <w:szCs w:val="20"/>
        </w:rPr>
        <w:t>是全面建成小康社会、实现第一个百年奋斗目标之后，乘势而上开启全面建设社会主义现代化国家新征程、向第二个百年奋斗目标进军的第一个五年，</w:t>
      </w:r>
      <w:r>
        <w:rPr>
          <w:rFonts w:hint="eastAsia" w:ascii="仿宋_GB2312" w:hAnsi="仿宋" w:eastAsia="仿宋_GB2312" w:cs="仿宋"/>
          <w:kern w:val="2"/>
          <w:sz w:val="32"/>
          <w:szCs w:val="32"/>
        </w:rPr>
        <w:t>也是达茂旗在新的起点上全面探索以生态优先、绿色发展为导向的高质量发展新路子的重要突破期。为了阐明旗委战略意图，明确政府工作重点，描绘未来五年发展蓝图，引导市场主体行为，引领社会行动方向，根据《中共达茂联合旗委员会关于制定</w:t>
      </w:r>
      <w:r>
        <w:rPr>
          <w:rFonts w:hint="eastAsia" w:ascii="仿宋_GB2312" w:hAnsi="仿宋_GB2312" w:eastAsia="仿宋_GB2312" w:cs="仿宋_GB2312"/>
          <w:kern w:val="2"/>
          <w:sz w:val="32"/>
          <w:szCs w:val="32"/>
        </w:rPr>
        <w:t>达茂联合旗</w:t>
      </w:r>
      <w:r>
        <w:rPr>
          <w:rFonts w:hint="eastAsia" w:ascii="仿宋_GB2312" w:hAnsi="仿宋" w:eastAsia="仿宋_GB2312" w:cs="仿宋"/>
          <w:kern w:val="2"/>
          <w:sz w:val="32"/>
          <w:szCs w:val="32"/>
        </w:rPr>
        <w:t>国民经济和社会发展第十四个五年规划和二</w:t>
      </w:r>
      <w:r>
        <w:rPr>
          <w:rFonts w:hint="eastAsia" w:ascii="宋体" w:hAnsi="宋体" w:cs="宋体"/>
          <w:kern w:val="2"/>
          <w:sz w:val="32"/>
          <w:szCs w:val="32"/>
        </w:rPr>
        <w:t>〇</w:t>
      </w:r>
      <w:r>
        <w:rPr>
          <w:rFonts w:hint="eastAsia" w:ascii="仿宋_GB2312" w:hAnsi="仿宋_GB2312" w:eastAsia="仿宋_GB2312" w:cs="仿宋_GB2312"/>
          <w:kern w:val="2"/>
          <w:sz w:val="32"/>
          <w:szCs w:val="32"/>
        </w:rPr>
        <w:t>三五年远景目标的建议》，编制《达茂联合旗国民经济和社会发展第十四个五年规划和2035年远景目标纲要》，作为全旗各族人民共谱现代化新征程的行动纲领。</w:t>
      </w:r>
    </w:p>
    <w:p w14:paraId="4BB8371F">
      <w:pPr>
        <w:pStyle w:val="3"/>
      </w:pPr>
      <w:bookmarkStart w:id="0" w:name="_Toc71878847"/>
      <w:r>
        <w:rPr>
          <w:rFonts w:hint="eastAsia"/>
        </w:rPr>
        <w:t>第一章 科学研判 全面审视发展新起点</w:t>
      </w:r>
      <w:bookmarkEnd w:id="0"/>
    </w:p>
    <w:p w14:paraId="7D915629">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当前，达茂旗正处于深入把握新发展阶段、贯彻新发展理念、构建新发展格局，推进旗域经济高质量发展的关键时期，全旗广大干部群众必须增强机遇意识，准确把握达茂旗发展的基础与条件，客观审视面临的内外环境和条件变化，深入挖掘和厚植发展优势，积极有效化解面临的问题与风险，更加奋发有为地开启现代化新征程。</w:t>
      </w:r>
    </w:p>
    <w:p w14:paraId="6C7598D0">
      <w:pPr>
        <w:pStyle w:val="4"/>
      </w:pPr>
      <w:bookmarkStart w:id="1" w:name="_Toc71878848"/>
      <w:r>
        <w:rPr>
          <w:rFonts w:hint="eastAsia"/>
        </w:rPr>
        <w:t>第一节 准确把握达茂旗发展的基础与条件</w:t>
      </w:r>
      <w:bookmarkEnd w:id="1"/>
    </w:p>
    <w:p w14:paraId="17F14491">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“十三五”以来，面对错综复杂的国内外环境和艰巨繁重的改革发展稳定任务，全旗以习近平新时代中国特色社会主义思想为指导，全面贯彻落实中央决策部署和自治区、包头市部署安排，</w:t>
      </w:r>
      <w:bookmarkStart w:id="2" w:name="_Toc40111230"/>
      <w:r>
        <w:rPr>
          <w:rFonts w:hint="eastAsia" w:ascii="仿宋_GB2312" w:hAnsi="仿宋" w:eastAsia="仿宋_GB2312" w:cs="仿宋"/>
          <w:kern w:val="2"/>
          <w:sz w:val="32"/>
          <w:szCs w:val="32"/>
        </w:rPr>
        <w:t>以高质量发展为导向，以供给侧结构性改革为主线，统筹推进稳增长、促改革、调结构、惠民生、防风险、保稳定各项工作，坚决打赢三大攻坚战，“十三五”规划确定的各项目标任务基本完成，决胜全面建成小康社会取得决定性成就，为开启现代化强旗新征程奠定扎实基础。</w:t>
      </w:r>
    </w:p>
    <w:p w14:paraId="2C3D3DCC">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楷体_GB2312" w:hAnsi="楷体" w:eastAsia="楷体_GB2312" w:cs="楷体"/>
          <w:kern w:val="2"/>
          <w:sz w:val="32"/>
          <w:szCs w:val="32"/>
        </w:rPr>
        <w:t>综合实力迈上新台阶。</w:t>
      </w:r>
      <w:r>
        <w:rPr>
          <w:rFonts w:hint="eastAsia" w:ascii="仿宋_GB2312" w:hAnsi="仿宋" w:eastAsia="仿宋_GB2312" w:cs="仿宋"/>
          <w:kern w:val="2"/>
          <w:sz w:val="32"/>
          <w:szCs w:val="32"/>
        </w:rPr>
        <w:t>推动实体经济持续健康发展，一二三产业坚定转型扎实推进，发展质量不断提升，综合实力进一步增强。2020年全旗地区生产总值实现91亿元，入选2020年西部地区县域经济百强榜。满都拉口岸基础设施不断完善，达茂百灵机场建成通过使用许可审定，</w:t>
      </w:r>
      <w:r>
        <w:rPr>
          <w:rFonts w:hint="eastAsia" w:ascii="仿宋_GB2312" w:hAnsi="仿宋" w:eastAsia="仿宋_GB2312" w:cs="仿宋_GB2312"/>
          <w:sz w:val="32"/>
          <w:szCs w:val="32"/>
        </w:rPr>
        <w:t>包满铁路三期工程竣工，基本建成G210、G335、S104线公路，百灵500千伏变电站建成运营，</w:t>
      </w:r>
      <w:r>
        <w:rPr>
          <w:rFonts w:hint="eastAsia" w:ascii="仿宋_GB2312" w:hAnsi="仿宋" w:eastAsia="仿宋_GB2312" w:cs="仿宋"/>
          <w:kern w:val="2"/>
          <w:sz w:val="32"/>
          <w:szCs w:val="32"/>
        </w:rPr>
        <w:t>发展的潜力和后劲明显增强。</w:t>
      </w:r>
    </w:p>
    <w:p w14:paraId="64F52AF3">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楷体_GB2312" w:hAnsi="楷体" w:eastAsia="楷体_GB2312" w:cs="楷体"/>
          <w:kern w:val="2"/>
          <w:sz w:val="32"/>
          <w:szCs w:val="32"/>
        </w:rPr>
        <w:t>三大攻坚战实现新突破。</w:t>
      </w:r>
      <w:r>
        <w:rPr>
          <w:rFonts w:hint="eastAsia" w:ascii="仿宋_GB2312" w:hAnsi="仿宋" w:eastAsia="仿宋_GB2312" w:cs="仿宋"/>
          <w:kern w:val="2"/>
          <w:sz w:val="32"/>
          <w:szCs w:val="32"/>
        </w:rPr>
        <w:t>全力化解政府债务，“十个全覆盖”十项内工程欠款、民营企业账款全部清偿；积极打好新冠疫情、鼠疫等防治战役。坚决打赢精准脱贫攻坚战，全旗1379户2837名建档立卡贫困人口全部脱贫，脱贫攻坚取得历史性成就。深入实施蓝天碧水净土保卫战，全旗空气优良天数比例达92.4%，河湖保护形成长效机制，土壤环境质量得到有效改善。</w:t>
      </w:r>
    </w:p>
    <w:p w14:paraId="64F85E43">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楷体_GB2312" w:hAnsi="楷体" w:eastAsia="楷体_GB2312" w:cs="楷体"/>
          <w:kern w:val="2"/>
          <w:sz w:val="32"/>
          <w:szCs w:val="32"/>
        </w:rPr>
        <w:t>经济企稳向好展现新态势。</w:t>
      </w:r>
      <w:r>
        <w:rPr>
          <w:rFonts w:hint="eastAsia" w:ascii="仿宋_GB2312" w:hAnsi="仿宋" w:eastAsia="仿宋_GB2312" w:cs="仿宋"/>
          <w:kern w:val="2"/>
          <w:sz w:val="32"/>
          <w:szCs w:val="32"/>
        </w:rPr>
        <w:t>农牧业现代化稳步推进，特色种植大面积推广，畜牧业走向良性发展轨道，农畜产品品牌化建设成效突出，打造了“达茂草原羊”“达茂马铃薯”等国家地理标志产品。工业转型升级步伐加快，巴润公司技改升级，清洁能源累计并网规模达到351万千瓦，居自治区旗县前列。口岸贸易持续扩大，相继实施了国际公路物流园区、进口肉类口岸等工程，</w:t>
      </w:r>
      <w:r>
        <w:rPr>
          <w:rFonts w:hint="eastAsia" w:ascii="仿宋_GB2312" w:hAnsi="仿宋" w:eastAsia="仿宋_GB2312"/>
          <w:sz w:val="32"/>
          <w:szCs w:val="32"/>
        </w:rPr>
        <w:t>五年累计进出口货物1003.2万吨</w:t>
      </w:r>
      <w:r>
        <w:rPr>
          <w:rFonts w:hint="eastAsia" w:ascii="仿宋_GB2312" w:hAnsi="仿宋" w:eastAsia="仿宋_GB2312" w:cs="仿宋"/>
          <w:kern w:val="2"/>
          <w:sz w:val="32"/>
          <w:szCs w:val="32"/>
        </w:rPr>
        <w:t>。全域旅游创建工作有序推进，成功创建为自治区首批“全域旅游示范区”。</w:t>
      </w:r>
    </w:p>
    <w:p w14:paraId="2855F03F">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楷体_GB2312" w:hAnsi="楷体" w:eastAsia="楷体_GB2312" w:cs="楷体"/>
          <w:kern w:val="2"/>
          <w:sz w:val="32"/>
          <w:szCs w:val="32"/>
        </w:rPr>
        <w:t>城乡统筹发展取得新进展。</w:t>
      </w:r>
      <w:r>
        <w:rPr>
          <w:rFonts w:hint="eastAsia" w:ascii="仿宋_GB2312" w:hAnsi="仿宋" w:eastAsia="仿宋_GB2312" w:cs="仿宋"/>
          <w:kern w:val="2"/>
          <w:sz w:val="32"/>
          <w:szCs w:val="32"/>
        </w:rPr>
        <w:t>加快以人为核心的新型城镇化进程，全旗城镇化率提高到49.33%，百灵庙镇集中供热普及率达到96％，城市用气普及率达到95%，污水处理率达到95%，人均公园绿地面积为13.9平方米，市政亮灯率达98%，百灵庙城镇形象和承载能力显著提升，被评为全区十大魅力名镇。美丽乡村建设成效显著，被评为全区新农村新牧区建设示范旗，成功创建“四好农村路”全国示范旗，荣获全国民族团结进步创建活动示范旗，成功进入自治区文明旗县城</w:t>
      </w:r>
      <w:r>
        <w:rPr>
          <w:rFonts w:hint="eastAsia" w:ascii="仿宋_GB2312" w:hAnsi="仿宋_GB2312" w:eastAsia="仿宋_GB2312" w:cs="仿宋_GB2312"/>
          <w:sz w:val="32"/>
          <w:szCs w:val="32"/>
        </w:rPr>
        <w:t>，</w:t>
      </w:r>
      <w:r>
        <w:rPr>
          <w:rFonts w:hint="eastAsia" w:ascii="仿宋_GB2312" w:hAnsi="仿宋" w:eastAsia="仿宋_GB2312" w:cs="仿宋"/>
          <w:kern w:val="2"/>
          <w:sz w:val="32"/>
          <w:szCs w:val="32"/>
        </w:rPr>
        <w:t>被国家爱卫会命名为国家卫生县城。</w:t>
      </w:r>
    </w:p>
    <w:p w14:paraId="6078654B">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楷体_GB2312" w:hAnsi="楷体" w:eastAsia="楷体_GB2312" w:cs="楷体"/>
          <w:kern w:val="2"/>
          <w:sz w:val="32"/>
          <w:szCs w:val="32"/>
        </w:rPr>
        <w:t>生态环境有了新改观。</w:t>
      </w:r>
      <w:r>
        <w:rPr>
          <w:rFonts w:hint="eastAsia" w:ascii="仿宋_GB2312" w:hAnsi="仿宋" w:eastAsia="仿宋_GB2312" w:cs="仿宋"/>
          <w:kern w:val="2"/>
          <w:sz w:val="32"/>
          <w:szCs w:val="32"/>
        </w:rPr>
        <w:t>草原植被盖度达到30.1%，森林覆盖度达到14.9%，草原沙化、退化趋势得到遏制。健全完善旗乡两级河长制，6大水系106条河流全部纳入“一河一策”管理，完成腾格淖尔等湖泊、河流划界，新增水土流失治理面积210平方公里。扎实推进绿色矿山建设，石宝铁矿进入全国绿色矿山名录，全旗11宗在期矿山地质环境治理通过验收。达茂旗被自治区确定为先行开展生态保护红线勘界定标试点地区之一。</w:t>
      </w:r>
    </w:p>
    <w:p w14:paraId="39AC816E">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楷体_GB2312" w:hAnsi="楷体" w:eastAsia="楷体_GB2312" w:cs="楷体"/>
          <w:kern w:val="2"/>
          <w:sz w:val="32"/>
          <w:szCs w:val="32"/>
        </w:rPr>
        <w:t>社会民生事业得到新改善。</w:t>
      </w:r>
      <w:r>
        <w:rPr>
          <w:rFonts w:hint="eastAsia" w:ascii="仿宋_GB2312" w:hAnsi="仿宋" w:eastAsia="仿宋_GB2312" w:cs="仿宋"/>
          <w:kern w:val="2"/>
          <w:sz w:val="32"/>
          <w:szCs w:val="32"/>
        </w:rPr>
        <w:t>城乡居民收入稳定增长，城镇登记失业率稳定在3.9%以内，城乡居民基本医疗保险制度实现整合，</w:t>
      </w:r>
      <w:r>
        <w:rPr>
          <w:rFonts w:hint="eastAsia" w:ascii="仿宋_GB2312" w:hAnsi="仿宋" w:eastAsia="仿宋_GB2312" w:cs="仿宋"/>
          <w:sz w:val="32"/>
          <w:szCs w:val="32"/>
        </w:rPr>
        <w:t>城乡居民养老保险参保覆盖率达97%，基本养老金社会化发放率达到100%，</w:t>
      </w:r>
      <w:r>
        <w:rPr>
          <w:rFonts w:hint="eastAsia" w:ascii="仿宋_GB2312" w:hAnsi="仿宋" w:eastAsia="仿宋_GB2312" w:cs="仿宋"/>
          <w:kern w:val="2"/>
          <w:sz w:val="32"/>
          <w:szCs w:val="32"/>
        </w:rPr>
        <w:t>教育事业全面发展，率先在自治区推行“十五年”免费教育。蒙医院新建工程、妇幼、疾控、卫生监督综合业务楼投入使用，国家健康促进旗通过考核评估，</w:t>
      </w:r>
      <w:r>
        <w:rPr>
          <w:rFonts w:hint="eastAsia" w:ascii="仿宋_GB2312" w:hAnsi="仿宋" w:eastAsia="仿宋_GB2312"/>
          <w:sz w:val="32"/>
          <w:szCs w:val="32"/>
        </w:rPr>
        <w:t>成功创建为自治区首批“</w:t>
      </w:r>
      <w:r>
        <w:rPr>
          <w:rFonts w:hint="eastAsia" w:ascii="仿宋_GB2312" w:hAnsi="仿宋" w:eastAsia="仿宋_GB2312" w:cs="仿宋_GB2312"/>
          <w:sz w:val="32"/>
          <w:szCs w:val="32"/>
        </w:rPr>
        <w:t>卫生应急规范旗县”</w:t>
      </w:r>
      <w:r>
        <w:rPr>
          <w:rFonts w:hint="eastAsia" w:ascii="仿宋_GB2312" w:hAnsi="仿宋" w:eastAsia="仿宋_GB2312" w:cs="仿宋"/>
          <w:sz w:val="32"/>
          <w:szCs w:val="32"/>
        </w:rPr>
        <w:t>。融媒体中心被确定为全国县级媒体融合发展改革试点之一，</w:t>
      </w:r>
      <w:r>
        <w:rPr>
          <w:rFonts w:hint="eastAsia" w:ascii="仿宋_GB2312" w:hAnsi="仿宋" w:eastAsia="仿宋_GB2312" w:cs="仿宋"/>
          <w:kern w:val="2"/>
          <w:sz w:val="32"/>
          <w:szCs w:val="32"/>
        </w:rPr>
        <w:t>博物馆、展览馆、传媒中心等一批高标准公共文化服务设施投入使用。</w:t>
      </w:r>
    </w:p>
    <w:p w14:paraId="58548BE1">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楷体_GB2312" w:hAnsi="楷体" w:eastAsia="楷体_GB2312" w:cs="楷体"/>
          <w:kern w:val="2"/>
          <w:sz w:val="32"/>
          <w:szCs w:val="32"/>
        </w:rPr>
        <w:t>社会治理水平实现新提升。</w:t>
      </w:r>
      <w:r>
        <w:rPr>
          <w:rFonts w:hint="eastAsia" w:ascii="仿宋_GB2312" w:hAnsi="仿宋" w:eastAsia="仿宋_GB2312" w:cs="仿宋"/>
          <w:kern w:val="2"/>
          <w:sz w:val="32"/>
          <w:szCs w:val="32"/>
        </w:rPr>
        <w:t>加快构建立体化社会治安防控体系，深入开展扫黑除恶活动，社会大局稳定和谐。完善社会矛盾排查化解机制，累计化解信访积案268件。加强安全生产体系建设，在全市率先设立基层安监站13个，安全生产形势保持稳定。“七五”普法深入实施，全社会法治观念明显增强。全面贯彻党的民族宗教政策，爱国统一战线得到巩固，自治区双拥模范旗实现“七连冠”。妇女、儿童、老年人和残疾人权益得到全面保障，档案、气象、人防、外事、红十字等工作取得新进展。</w:t>
      </w:r>
    </w:p>
    <w:bookmarkEnd w:id="2"/>
    <w:p w14:paraId="23BE8F16">
      <w:pPr>
        <w:widowControl w:val="0"/>
        <w:adjustRightInd/>
        <w:snapToGrid/>
        <w:spacing w:line="64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在看到成绩的同时，我们也清醒地认识到，发展中还存在不平衡不充分的问题：一是经济总量小，存量规上企业数量少，叠加疫情市场疲软和减税降费政策影响，财政收入增速放缓与刚性支出增加的矛盾突出。二是产业转型升级任重道远，农畜产品加工水平低，工业产业规模小、链条短、附加值低并存，服务业发展活力不足，新兴产业培育缓慢。三是固定资产投资放缓，带动力强的重大项目不多，经济增长的后续动力和支撑不够。四是经济社会发展还面临不少难啃的“硬骨头”，脱贫群众劳动技能缺乏、就业渠道不多、收入来源不稳；化解政府债务措施单一，任务仍然艰巨；打好蓝天、碧水、净土保卫战还有许多工作要做，生态环境保护建设需要付出更多艰辛努力。五是教育、医疗、文化、就业、社会保障等优质公共服务供给与人民群众美好生活期待还有不小差距。</w:t>
      </w:r>
    </w:p>
    <w:p w14:paraId="51F84A61">
      <w:pPr>
        <w:pStyle w:val="4"/>
      </w:pPr>
      <w:bookmarkStart w:id="3" w:name="_Toc71878849"/>
      <w:r>
        <w:rPr>
          <w:rFonts w:hint="eastAsia"/>
        </w:rPr>
        <w:t>第二节 全力抢抓大有可为的战略机遇期</w:t>
      </w:r>
      <w:bookmarkEnd w:id="3"/>
    </w:p>
    <w:p w14:paraId="7C850C86">
      <w:pPr>
        <w:widowControl w:val="0"/>
        <w:adjustRightInd/>
        <w:snapToGrid/>
        <w:spacing w:line="640" w:lineRule="exact"/>
        <w:ind w:firstLine="640" w:firstLineChars="200"/>
        <w:jc w:val="both"/>
        <w:rPr>
          <w:rFonts w:ascii="仿宋_GB2312" w:hAnsi="仿宋" w:eastAsia="仿宋_GB2312" w:cs="仿宋"/>
          <w:kern w:val="2"/>
          <w:sz w:val="32"/>
          <w:szCs w:val="32"/>
        </w:rPr>
      </w:pPr>
      <w:bookmarkStart w:id="4" w:name="_Toc47913874"/>
      <w:bookmarkStart w:id="5" w:name="_Toc48067825"/>
      <w:r>
        <w:rPr>
          <w:rFonts w:hint="eastAsia" w:ascii="仿宋_GB2312" w:hAnsi="仿宋" w:eastAsia="仿宋_GB2312" w:cs="仿宋"/>
          <w:kern w:val="2"/>
          <w:sz w:val="32"/>
          <w:szCs w:val="32"/>
        </w:rPr>
        <w:t>“十四五”时期，世界百年未有之大变局加速演化并与我国现代化建设新征程开局起步交融，我旗将与全国一道进入充满挑战的战略机遇期，经济社会发展面临转方式、调结构、换动力、提质量等一系列新的要求。需要在环境和任务变化中，重新审视自身优势与不足，寻求机遇，应对挑战。</w:t>
      </w:r>
    </w:p>
    <w:p w14:paraId="29469BCA">
      <w:pPr>
        <w:widowControl w:val="0"/>
        <w:adjustRightInd/>
        <w:snapToGrid/>
        <w:spacing w:line="640" w:lineRule="exact"/>
        <w:ind w:firstLine="643" w:firstLineChars="200"/>
        <w:jc w:val="both"/>
        <w:rPr>
          <w:rFonts w:ascii="楷体_GB2312" w:hAnsi="仿宋" w:eastAsia="楷体_GB2312" w:cs="仿宋"/>
          <w:kern w:val="2"/>
          <w:sz w:val="32"/>
          <w:szCs w:val="32"/>
        </w:rPr>
      </w:pPr>
      <w:r>
        <w:rPr>
          <w:rFonts w:hint="eastAsia" w:ascii="楷体_GB2312" w:hAnsi="仿宋" w:eastAsia="楷体_GB2312" w:cs="仿宋"/>
          <w:b/>
          <w:bCs/>
          <w:kern w:val="2"/>
          <w:sz w:val="32"/>
          <w:szCs w:val="32"/>
        </w:rPr>
        <w:t>一、发展优势和发展机遇</w:t>
      </w:r>
    </w:p>
    <w:p w14:paraId="56FBEA66">
      <w:pPr>
        <w:widowControl w:val="0"/>
        <w:adjustRightInd/>
        <w:snapToGrid/>
        <w:spacing w:line="640" w:lineRule="exact"/>
        <w:ind w:firstLine="643" w:firstLineChars="200"/>
        <w:rPr>
          <w:rFonts w:ascii="仿宋_GB2312" w:hAnsi="仿宋" w:eastAsia="仿宋_GB2312" w:cs="仿宋"/>
          <w:sz w:val="32"/>
          <w:szCs w:val="24"/>
        </w:rPr>
      </w:pPr>
      <w:r>
        <w:rPr>
          <w:rFonts w:hint="eastAsia" w:ascii="仿宋_GB2312" w:hAnsi="仿宋" w:eastAsia="仿宋_GB2312"/>
          <w:b/>
          <w:sz w:val="32"/>
          <w:szCs w:val="32"/>
        </w:rPr>
        <w:t>新发展阶段面临的新机遇。</w:t>
      </w:r>
      <w:r>
        <w:rPr>
          <w:rFonts w:hint="eastAsia" w:ascii="仿宋_GB2312" w:hAnsi="仿宋" w:eastAsia="仿宋_GB2312"/>
          <w:bCs/>
          <w:sz w:val="32"/>
          <w:szCs w:val="32"/>
        </w:rPr>
        <w:t>综合分析国内外形势，“十四五”时期各种积极因素加速集聚，是我旗抢抓机遇、乘势而上、大有作为的关键期。新发展格局加速构建为我旗融入国内大循环、国内国际双循环提供了广阔天地，碳达峰、碳中和的宏伟目标为我旗借助新一轮能源革命契机，加速走以生态优先、绿色发展为导向的高质量发展新路子提供了重大历史性机遇。</w:t>
      </w:r>
      <w:r>
        <w:rPr>
          <w:rFonts w:hint="eastAsia" w:ascii="仿宋_GB2312" w:hAnsi="仿宋" w:eastAsia="仿宋_GB2312" w:cs="仿宋"/>
          <w:sz w:val="32"/>
          <w:szCs w:val="24"/>
        </w:rPr>
        <w:t>随着新一轮西部大开发、黄河流域生态保护和高质量发展战略东北振兴等的全面实施，不仅有利于我旗加快补齐生态保护、转型升级、基础设施等领域短板弱项，在区域联动中实现借力借势发展，也有利于我旗充分利用北方重要生态安全屏障、祖国北疆安全稳定屏障、资源能源地区、绿色农畜产品重点区等特色区域的主体功能，在更大范围、更宽领域获取优质资源和政策支持，助推高质量发展。</w:t>
      </w:r>
      <w:r>
        <w:rPr>
          <w:rFonts w:hint="eastAsia" w:ascii="仿宋_GB2312" w:hAnsi="仿宋" w:eastAsia="仿宋_GB2312" w:cs="仿宋"/>
          <w:kern w:val="2"/>
          <w:sz w:val="32"/>
          <w:szCs w:val="32"/>
        </w:rPr>
        <w:t>呼包鄂榆协同发展和中蒙俄经济走廊建设的强化,将</w:t>
      </w:r>
      <w:r>
        <w:rPr>
          <w:rFonts w:hint="eastAsia" w:ascii="仿宋_GB2312" w:hAnsi="仿宋" w:eastAsia="仿宋_GB2312" w:cs="仿宋"/>
          <w:sz w:val="32"/>
          <w:szCs w:val="24"/>
        </w:rPr>
        <w:t>为我旗吸引周边优质要素转移和扩大商品和服务市场提供更大可能。</w:t>
      </w:r>
    </w:p>
    <w:p w14:paraId="0115594C">
      <w:pPr>
        <w:widowControl w:val="0"/>
        <w:adjustRightInd/>
        <w:snapToGrid/>
        <w:spacing w:line="640" w:lineRule="exact"/>
        <w:ind w:firstLine="643" w:firstLineChars="200"/>
        <w:jc w:val="both"/>
        <w:textAlignment w:val="baseline"/>
        <w:rPr>
          <w:rFonts w:ascii="等线" w:hAnsi="等线" w:eastAsia="仿宋_GB2312"/>
          <w:kern w:val="2"/>
          <w:sz w:val="32"/>
        </w:rPr>
      </w:pPr>
      <w:r>
        <w:rPr>
          <w:rFonts w:hint="eastAsia" w:ascii="等线" w:hAnsi="等线" w:eastAsia="仿宋_GB2312"/>
          <w:b/>
          <w:bCs/>
          <w:kern w:val="2"/>
          <w:sz w:val="32"/>
        </w:rPr>
        <w:t>绿色发展导向带来的新机遇。</w:t>
      </w:r>
      <w:r>
        <w:rPr>
          <w:rFonts w:hint="eastAsia" w:ascii="仿宋_GB2312" w:hAnsi="仿宋_GB2312" w:eastAsia="仿宋_GB2312" w:cs="仿宋_GB2312"/>
          <w:bCs/>
          <w:sz w:val="32"/>
          <w:szCs w:val="32"/>
        </w:rPr>
        <w:t>“十四五”时期，生态文明建设将进入多领域、全要素、全流域综合系统治理的提质增效阶段，我旗将同自治区一起进入以生态优先、绿色发展为导向的高质量发展新路子的关键期。作为国家重点生态功能旗县，我旗在实施重点生态工程、争取生态专项转移支付等方面将得到更多的政策支持。与此同时，清洁生产、清洁能源、节能环保等领域绿色发展技术日渐成熟，将有利于我旗破解传统发展模式弊端，探索符合自身特点的生态经济化、经济生态化之路，为我旗存量矿产资源的深度开发和综合利用、推动绿色崛起带来新机遇。居民消费的全方位升级将为我旗做强做大绿色农畜产品生产加工业提供重要契机。我国</w:t>
      </w:r>
      <w:r>
        <w:rPr>
          <w:rFonts w:ascii="仿宋_GB2312" w:hAnsi="仿宋_GB2312" w:eastAsia="仿宋_GB2312" w:cs="仿宋_GB2312"/>
          <w:bCs/>
          <w:sz w:val="32"/>
          <w:szCs w:val="32"/>
        </w:rPr>
        <w:t>居民服务消费增加，为</w:t>
      </w:r>
      <w:r>
        <w:rPr>
          <w:rFonts w:hint="eastAsia" w:ascii="仿宋_GB2312" w:hAnsi="仿宋_GB2312" w:eastAsia="仿宋_GB2312" w:cs="仿宋_GB2312"/>
          <w:bCs/>
          <w:sz w:val="32"/>
          <w:szCs w:val="32"/>
        </w:rPr>
        <w:t>我旗发挥全域旅游优势，壮大文化旅游产业供给带来重要机遇。</w:t>
      </w:r>
    </w:p>
    <w:p w14:paraId="04BE92AE">
      <w:pPr>
        <w:widowControl w:val="0"/>
        <w:adjustRightInd/>
        <w:snapToGrid/>
        <w:spacing w:line="640" w:lineRule="exact"/>
        <w:ind w:firstLine="581" w:firstLineChars="181"/>
        <w:jc w:val="both"/>
        <w:textAlignment w:val="baseline"/>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重大技术变革激发的新机遇。</w:t>
      </w:r>
      <w:r>
        <w:rPr>
          <w:rFonts w:hint="eastAsia" w:ascii="仿宋_GB2312" w:hAnsi="仿宋_GB2312" w:eastAsia="仿宋_GB2312" w:cs="仿宋_GB2312"/>
          <w:bCs/>
          <w:sz w:val="32"/>
          <w:szCs w:val="32"/>
        </w:rPr>
        <w:t>“十四五”时期是我国即将进入重大科技变革的关键期，新一轮技术革命为落后地区实现赶超发展创造了重大机遇。数字化进入全面渗透、跨界融合、加速创新、引领发展的新阶段，5G商业应用、人工智能、大数据等信息日益成熟，为我旗推动传统工业改造升级将提供技术支撑，为我旗培育壮大特色数字农牧业、加快一二三产深度融合提供可能。储能技术、风光开发技术迅速提升，氢能开发应用技术也在突飞猛进，也为我旗现代能源发展打开了新的格局。物联网、工业互联网的快速发展，将有利于我旗克服创新要素短板，利用线上平台解决企业创新难题。</w:t>
      </w:r>
    </w:p>
    <w:p w14:paraId="3A5C4ED6">
      <w:pPr>
        <w:adjustRightInd/>
        <w:snapToGrid/>
        <w:spacing w:line="640" w:lineRule="exact"/>
        <w:ind w:firstLine="643" w:firstLineChars="200"/>
        <w:jc w:val="both"/>
        <w:textAlignment w:val="baseline"/>
        <w:rPr>
          <w:rFonts w:ascii="仿宋_GB2312" w:hAnsi="仿宋_GB2312" w:eastAsia="仿宋_GB2312" w:cs="仿宋_GB2312"/>
          <w:kern w:val="2"/>
          <w:sz w:val="32"/>
        </w:rPr>
      </w:pPr>
      <w:r>
        <w:rPr>
          <w:rFonts w:hint="eastAsia" w:ascii="仿宋_GB2312" w:hAnsi="仿宋_GB2312" w:eastAsia="仿宋_GB2312" w:cs="仿宋_GB2312"/>
          <w:b/>
          <w:bCs/>
          <w:sz w:val="32"/>
          <w:szCs w:val="32"/>
        </w:rPr>
        <w:t>深入实施新型城镇化和乡村振兴战略带来的机遇。</w:t>
      </w:r>
      <w:r>
        <w:rPr>
          <w:rFonts w:hint="eastAsia" w:ascii="仿宋_GB2312" w:hAnsi="仿宋_GB2312" w:eastAsia="仿宋_GB2312" w:cs="仿宋_GB2312"/>
          <w:kern w:val="2"/>
          <w:sz w:val="32"/>
        </w:rPr>
        <w:t>国家推进新型城镇化补短板强弱项，有助于大力提升我旗城镇公共设施和服务能力，补足公共卫生、公共服务、人居环境、市政设施、产业配套等方面的短板，增强综合承载能力和治理能力，有效支撑我旗经济发展和农牧业转移人口就近城镇化。国家推动脱贫攻坚与乡村振兴无缝衔接，保持脱贫攻坚政策稳定，有利于巩固脱贫成果，将有效激发我旗发展的内生动力，实现长期稳定繁荣发展。</w:t>
      </w:r>
    </w:p>
    <w:p w14:paraId="47A7A6B4">
      <w:pPr>
        <w:adjustRightInd/>
        <w:snapToGrid/>
        <w:spacing w:line="640" w:lineRule="exact"/>
        <w:ind w:firstLine="643" w:firstLineChars="200"/>
        <w:jc w:val="both"/>
        <w:textAlignment w:val="baseline"/>
        <w:rPr>
          <w:rFonts w:ascii="仿宋_GB2312" w:hAnsi="仿宋_GB2312" w:eastAsia="仿宋_GB2312" w:cs="仿宋_GB2312"/>
          <w:kern w:val="2"/>
          <w:sz w:val="32"/>
        </w:rPr>
      </w:pPr>
      <w:r>
        <w:rPr>
          <w:rFonts w:hint="eastAsia" w:ascii="楷体_GB2312" w:hAnsi="仿宋" w:eastAsia="楷体_GB2312" w:cs="仿宋"/>
          <w:b/>
          <w:bCs/>
          <w:kern w:val="2"/>
          <w:sz w:val="32"/>
          <w:szCs w:val="32"/>
        </w:rPr>
        <w:t>二、发展劣势和面临挑战</w:t>
      </w:r>
    </w:p>
    <w:p w14:paraId="4CB76A1A">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挖掘优势的同时也要清醒地认识到，全旗经济正处在结构重大调整转换时期，新动力孕育和传统动力减弱并存交替，外部环境的不稳定不确定因素依然较多，发展旗域经济面临诸多制约因素和重大挑战。</w:t>
      </w:r>
    </w:p>
    <w:p w14:paraId="5B052B4F">
      <w:pPr>
        <w:spacing w:line="640" w:lineRule="exact"/>
        <w:ind w:firstLine="640" w:firstLineChars="200"/>
        <w:rPr>
          <w:rFonts w:ascii="仿宋_GB2312" w:hAnsi="仿宋" w:eastAsia="仿宋_GB2312" w:cs="仿宋"/>
          <w:sz w:val="32"/>
          <w:szCs w:val="32"/>
        </w:rPr>
      </w:pPr>
      <w:r>
        <w:rPr>
          <w:rFonts w:hint="eastAsia" w:ascii="楷体_GB2312" w:hAnsi="楷体" w:eastAsia="楷体_GB2312" w:cs="楷体"/>
          <w:sz w:val="32"/>
          <w:szCs w:val="32"/>
        </w:rPr>
        <w:t>发展环境发生深刻变化的挑战。</w:t>
      </w:r>
      <w:r>
        <w:rPr>
          <w:rFonts w:hint="eastAsia" w:ascii="仿宋_GB2312" w:eastAsia="仿宋_GB2312"/>
          <w:kern w:val="2"/>
          <w:sz w:val="32"/>
        </w:rPr>
        <w:t>当前，新一轮科技革命与产业变革正在蓄势待发，多数国家和地区都在部署和抢抓发展战略机遇期，但对于尚处于工业化初级阶段的我旗来说，受创新强度偏低、创新基础条件弱、创新后发优势不突出等综合因素影响，抢抓科技革命和产业变革机遇的能力较弱，与发达地区发展差距有进一步被放大的风险。与此同时，受疫情影响，全球正处于产业链供应链加速重塑的新阶段，但由于我旗经济体量小，总体竞争力较弱，产业发展层次低，主导产业支撑能力弱，在构筑新的产业链供应链格局中面临的挑战将更为艰巨，从而有可能导致新旧挑战叠加、多方压力进一步增大的不利局面。</w:t>
      </w:r>
    </w:p>
    <w:p w14:paraId="08EF7D4B">
      <w:pPr>
        <w:widowControl w:val="0"/>
        <w:adjustRightInd/>
        <w:snapToGrid/>
        <w:spacing w:line="640" w:lineRule="exact"/>
        <w:ind w:firstLine="640" w:firstLineChars="200"/>
        <w:rPr>
          <w:rFonts w:ascii="仿宋_GB2312" w:hAnsi="仿宋" w:eastAsia="仿宋_GB2312" w:cs="仿宋"/>
          <w:sz w:val="32"/>
          <w:szCs w:val="24"/>
        </w:rPr>
      </w:pPr>
      <w:r>
        <w:rPr>
          <w:rFonts w:hint="eastAsia" w:ascii="楷体_GB2312" w:hAnsi="楷体" w:eastAsia="楷体_GB2312" w:cs="楷体"/>
          <w:sz w:val="32"/>
          <w:szCs w:val="32"/>
        </w:rPr>
        <w:t>未来区域发展新形势带来的挑战。</w:t>
      </w:r>
      <w:r>
        <w:rPr>
          <w:rFonts w:hint="eastAsia" w:ascii="仿宋_GB2312" w:hAnsi="仿宋" w:eastAsia="仿宋_GB2312" w:cs="仿宋"/>
          <w:sz w:val="32"/>
          <w:szCs w:val="24"/>
        </w:rPr>
        <w:t>未来区域要素将加速向城市群和中心城市集聚，我旗经济发展和公共服务还处于较低水平，面临着外部巨大的“虹吸效应”，特别是劳动力、人才流失的压力可能会持续加大。与此同时，周边地区多为欠发达旗县，产业同质化程度较高，发展战略趋同，在摆脱落后状态、推动高质量发展过程中的现实和潜在竞争激烈，不利于我旗吸引优质生产要素。</w:t>
      </w:r>
    </w:p>
    <w:p w14:paraId="624CE482">
      <w:pPr>
        <w:widowControl w:val="0"/>
        <w:adjustRightInd/>
        <w:snapToGrid/>
        <w:spacing w:line="640" w:lineRule="exact"/>
        <w:ind w:firstLine="640" w:firstLineChars="200"/>
        <w:rPr>
          <w:rFonts w:ascii="仿宋_GB2312" w:hAnsi="仿宋" w:eastAsia="仿宋_GB2312" w:cs="仿宋"/>
          <w:sz w:val="32"/>
          <w:szCs w:val="24"/>
        </w:rPr>
      </w:pPr>
      <w:r>
        <w:rPr>
          <w:rFonts w:hint="eastAsia" w:ascii="楷体_GB2312" w:hAnsi="楷体" w:eastAsia="楷体_GB2312" w:cs="楷体"/>
          <w:sz w:val="32"/>
          <w:szCs w:val="32"/>
        </w:rPr>
        <w:t>生态环境约束趋紧带来的挑战。</w:t>
      </w:r>
      <w:r>
        <w:rPr>
          <w:rFonts w:hint="eastAsia" w:ascii="仿宋_GB2312" w:hAnsi="仿宋" w:eastAsia="仿宋_GB2312" w:cs="仿宋"/>
          <w:sz w:val="32"/>
          <w:szCs w:val="24"/>
        </w:rPr>
        <w:t>未来国家将进一步发挥生态环境保护的倒逼作用，突出生态保护红线、环境质量底线、资源利用上线管控，环境政策日益严格。我旗工业化城镇化仍处于快速推进阶段，但总体上看，我旗生态环境脆弱，未来生态环境保护与经济发展的矛盾将持续存在，</w:t>
      </w:r>
      <w:r>
        <w:rPr>
          <w:rFonts w:hint="eastAsia" w:ascii="仿宋_GB2312" w:hAnsi="仿宋" w:eastAsia="仿宋_GB2312" w:cs="仿宋"/>
          <w:sz w:val="32"/>
          <w:szCs w:val="32"/>
        </w:rPr>
        <w:t>尤其水资源短缺成为制约旗域经济发展的关键要素，旗域经济发展的生态环境刚性约束压力持续存在，</w:t>
      </w:r>
      <w:r>
        <w:rPr>
          <w:rFonts w:hint="eastAsia" w:ascii="仿宋_GB2312" w:hAnsi="仿宋" w:eastAsia="仿宋_GB2312" w:cs="仿宋"/>
          <w:sz w:val="32"/>
          <w:szCs w:val="24"/>
        </w:rPr>
        <w:t>转变发展方式的要求将越发紧迫。</w:t>
      </w:r>
    </w:p>
    <w:p w14:paraId="271123E4">
      <w:pPr>
        <w:widowControl w:val="0"/>
        <w:adjustRightInd/>
        <w:snapToGrid/>
        <w:spacing w:line="640" w:lineRule="exact"/>
        <w:ind w:firstLine="640" w:firstLineChars="200"/>
        <w:rPr>
          <w:rFonts w:ascii="仿宋_GB2312" w:hAnsi="仿宋" w:eastAsia="仿宋_GB2312" w:cs="仿宋"/>
          <w:sz w:val="32"/>
          <w:szCs w:val="24"/>
        </w:rPr>
      </w:pPr>
      <w:r>
        <w:rPr>
          <w:rFonts w:hint="eastAsia" w:ascii="楷体_GB2312" w:hAnsi="楷体" w:eastAsia="楷体_GB2312" w:cs="楷体"/>
          <w:sz w:val="32"/>
          <w:szCs w:val="32"/>
        </w:rPr>
        <w:t>高端要素短缺带来的挑战。</w:t>
      </w:r>
      <w:r>
        <w:rPr>
          <w:rFonts w:hint="eastAsia" w:ascii="仿宋_GB2312" w:hAnsi="仿宋" w:eastAsia="仿宋_GB2312" w:cs="仿宋"/>
          <w:sz w:val="32"/>
          <w:szCs w:val="24"/>
        </w:rPr>
        <w:t>“十四五”时期，国家将前所未有的推动创新战略，加快推进经济社会发展由外延扩张模式转向内涵发展模式，这对生产要素的高级化和生产过程的高端化、绿色化、智能化提出了新要求，但我旗创新能力和高端要素还不能很好适应。从人才要素看，我旗人才总量不足，现代农牧业、金属冶炼加工、数字经济等领域高端人才尤显缺乏。从技术要素看，推动产业链提升、新产业培育的技术瓶颈突出，对推动产业转型升级形成关键制约。从基础设施保障能力看，交通基础设施发展滞后、服务业发展不充分，距离货物多式联运高效运输体系的差距较远，对区位优势的发挥和资源要素的集聚形成较强制约。园区供水、供电、环境保护等配套设施有待完善。</w:t>
      </w:r>
    </w:p>
    <w:p w14:paraId="46C42839">
      <w:pPr>
        <w:widowControl w:val="0"/>
        <w:adjustRightInd/>
        <w:snapToGrid/>
        <w:spacing w:line="640" w:lineRule="exact"/>
        <w:ind w:firstLine="640" w:firstLineChars="200"/>
        <w:rPr>
          <w:rFonts w:ascii="仿宋_GB2312" w:hAnsi="仿宋" w:eastAsia="仿宋_GB2312" w:cs="仿宋"/>
          <w:sz w:val="32"/>
          <w:szCs w:val="24"/>
        </w:rPr>
      </w:pPr>
      <w:r>
        <w:rPr>
          <w:rFonts w:hint="eastAsia" w:ascii="仿宋_GB2312" w:hAnsi="仿宋" w:eastAsia="仿宋_GB2312" w:cs="仿宋"/>
          <w:sz w:val="32"/>
          <w:szCs w:val="24"/>
        </w:rPr>
        <w:t>总体分析，我旗经济社会发展的机遇与挑战并存，希望与困难同在，总体上仍处于大有作为的战略机遇期。只要准确把握战略机遇期内涵的深刻变化，用全面、战略、辩证、长远的眼光看待发展大势，一以贯之地保持走好以生态优先、绿色发展的高质量发展新路子的战略定力，科学应变、主动求变，努力在更加不确定的环境中寻求发展，借势借力，加快释放累积的比较优势，把战略机遇转化为持续发展新动力，就能在新一轮发展中赢得先机，实现更高质量、更有效率、更加公平、更可持续、更为安全的发展。</w:t>
      </w:r>
    </w:p>
    <w:bookmarkEnd w:id="4"/>
    <w:bookmarkEnd w:id="5"/>
    <w:p w14:paraId="79F4C7B8">
      <w:pPr>
        <w:pStyle w:val="3"/>
      </w:pPr>
      <w:bookmarkStart w:id="6" w:name="_Toc71878850"/>
      <w:r>
        <w:rPr>
          <w:rFonts w:hint="eastAsia"/>
        </w:rPr>
        <w:t>第二章 擘划蓝图 开启高质量发展新征程</w:t>
      </w:r>
      <w:bookmarkEnd w:id="6"/>
    </w:p>
    <w:p w14:paraId="5397767E">
      <w:pPr>
        <w:widowControl w:val="0"/>
        <w:adjustRightInd/>
        <w:snapToGrid/>
        <w:spacing w:line="640" w:lineRule="exact"/>
        <w:ind w:firstLine="480" w:firstLineChars="150"/>
        <w:jc w:val="both"/>
        <w:textAlignment w:val="baseline"/>
        <w:rPr>
          <w:rFonts w:ascii="等线" w:hAnsi="等线" w:eastAsia="仿宋_GB2312"/>
          <w:kern w:val="2"/>
          <w:sz w:val="32"/>
        </w:rPr>
      </w:pPr>
      <w:r>
        <w:rPr>
          <w:rFonts w:hint="eastAsia" w:ascii="等线" w:hAnsi="等线" w:eastAsia="仿宋_GB2312"/>
          <w:kern w:val="2"/>
          <w:sz w:val="32"/>
        </w:rPr>
        <w:t>“十四五”时期，我旗必须把握新发展阶段、贯彻新发展理念、融入新发展格局，必须把生态优先、绿色发展贯穿全过程、全领域，努力实现发展理念、发展路径、发展方式、发展目标的全方位优化，紧扣</w:t>
      </w:r>
      <w:r>
        <w:rPr>
          <w:rFonts w:hint="eastAsia" w:ascii="仿宋_GB2312" w:hAnsi="等线" w:eastAsia="仿宋_GB2312"/>
          <w:kern w:val="2"/>
          <w:sz w:val="32"/>
        </w:rPr>
        <w:t>2035</w:t>
      </w:r>
      <w:r>
        <w:rPr>
          <w:rFonts w:hint="eastAsia" w:ascii="等线" w:hAnsi="等线" w:eastAsia="仿宋_GB2312"/>
          <w:kern w:val="2"/>
          <w:sz w:val="32"/>
        </w:rPr>
        <w:t>年基本实现社会主义现代化的战略安排，明确我旗阶段性发展目标。</w:t>
      </w:r>
    </w:p>
    <w:p w14:paraId="26F521D2">
      <w:pPr>
        <w:pStyle w:val="4"/>
      </w:pPr>
      <w:bookmarkStart w:id="7" w:name="_Toc71878851"/>
      <w:r>
        <w:rPr>
          <w:rFonts w:hint="eastAsia"/>
        </w:rPr>
        <w:t>第一节 指导思想</w:t>
      </w:r>
      <w:bookmarkEnd w:id="7"/>
    </w:p>
    <w:p w14:paraId="122F1590">
      <w:pPr>
        <w:pStyle w:val="2"/>
        <w:widowControl w:val="0"/>
        <w:spacing w:after="0" w:line="640" w:lineRule="exact"/>
        <w:ind w:firstLine="640"/>
        <w:jc w:val="both"/>
        <w:rPr>
          <w:rFonts w:ascii="仿宋_GB2312" w:hAnsi="Times New Roman" w:eastAsia="仿宋_GB2312"/>
          <w:color w:val="000000"/>
          <w:szCs w:val="32"/>
        </w:rPr>
      </w:pPr>
      <w:r>
        <w:rPr>
          <w:rFonts w:hint="eastAsia" w:ascii="仿宋_GB2312" w:hAnsi="Times New Roman" w:eastAsia="仿宋_GB2312"/>
          <w:color w:val="000000"/>
          <w:szCs w:val="32"/>
        </w:rPr>
        <w:t>坚持以习近平新时代中国特色社会主义思想为指导，深入贯彻党的十九大和十九届二中、三中、四中、五中全会精神，全面落实习近平总书记对内蒙古重要讲话重要指示批示精神，全面贯彻党的基本理论、基本路线、基本方略，统筹推进“五位一体”总体布局，协调推进“四个全面”战略布局，坚持党的全面领导，坚持以人民为中心，坚持深化改革开放，坚持系统观念，坚持稳中求进工作总基调，坚持以高质量发展为主线，完整、准确、全面贯彻新发展理念，紧紧围绕市委“四基地两中心一高地一体系”发展定位，坚持绿色转型、开放发展，实施生态立旗、工业强旗、开放活旗“三大战略”，突出资源、区位、空间“三大优势”，打造能源、口岸、园区“三大载体”，加快农牧、文旅、生态“三业融合”，聚力民生、社会、城建“三个提升”，扛起生态建设、民族团结、边疆稳固“三大责任”，打造生态、活力、平安、和谐的新时代社会主义现代化新达茂。</w:t>
      </w:r>
    </w:p>
    <w:p w14:paraId="76E64C60">
      <w:pPr>
        <w:pStyle w:val="4"/>
      </w:pPr>
      <w:bookmarkStart w:id="8" w:name="_Toc71878852"/>
      <w:r>
        <w:rPr>
          <w:rFonts w:hint="eastAsia"/>
        </w:rPr>
        <w:t>第二节 基本原则</w:t>
      </w:r>
      <w:bookmarkEnd w:id="8"/>
    </w:p>
    <w:p w14:paraId="46F2578F">
      <w:pPr>
        <w:pStyle w:val="2"/>
        <w:widowControl w:val="0"/>
        <w:spacing w:after="0" w:line="640" w:lineRule="exact"/>
        <w:jc w:val="both"/>
        <w:rPr>
          <w:rFonts w:ascii="Times New Roman" w:hAnsi="Times New Roman" w:eastAsia="仿宋_GB2312"/>
          <w:color w:val="000000"/>
          <w:kern w:val="2"/>
          <w:szCs w:val="32"/>
        </w:rPr>
      </w:pPr>
      <w:r>
        <w:rPr>
          <w:rFonts w:hint="eastAsia" w:ascii="仿宋_GB2312" w:hAnsi="楷体" w:eastAsia="仿宋_GB2312" w:cs="楷体"/>
          <w:b/>
          <w:kern w:val="2"/>
          <w:szCs w:val="32"/>
        </w:rPr>
        <w:t>——</w:t>
      </w:r>
      <w:bookmarkStart w:id="9" w:name="_Toc71878853"/>
      <w:r>
        <w:rPr>
          <w:rFonts w:ascii="Times New Roman" w:hAnsi="Times New Roman" w:eastAsia="仿宋_GB2312"/>
          <w:b/>
          <w:bCs/>
          <w:color w:val="000000"/>
          <w:kern w:val="2"/>
          <w:szCs w:val="32"/>
        </w:rPr>
        <w:t>经济增长取得新突破。</w:t>
      </w:r>
      <w:r>
        <w:rPr>
          <w:rFonts w:ascii="Times New Roman" w:hAnsi="Times New Roman" w:eastAsia="仿宋_GB2312"/>
          <w:color w:val="000000"/>
          <w:kern w:val="2"/>
          <w:szCs w:val="32"/>
        </w:rPr>
        <w:t>主要经济指标增幅高于全区平均水平，高于全市平均水平，高于</w:t>
      </w:r>
      <w:r>
        <w:rPr>
          <w:rFonts w:hint="eastAsia" w:ascii="仿宋_GB2312" w:hAnsi="Times New Roman" w:eastAsia="仿宋_GB2312"/>
          <w:color w:val="000000"/>
          <w:kern w:val="2"/>
          <w:szCs w:val="32"/>
        </w:rPr>
        <w:t>我旗“十三五”期间年均</w:t>
      </w:r>
      <w:r>
        <w:rPr>
          <w:rFonts w:ascii="Times New Roman" w:hAnsi="Times New Roman" w:eastAsia="仿宋_GB2312"/>
          <w:color w:val="000000"/>
          <w:kern w:val="2"/>
          <w:szCs w:val="32"/>
        </w:rPr>
        <w:t>增长水平；城乡居民收入增速力争全市第一。</w:t>
      </w:r>
    </w:p>
    <w:p w14:paraId="1EA9D36E">
      <w:pPr>
        <w:widowControl w:val="0"/>
        <w:spacing w:line="640" w:lineRule="exact"/>
        <w:ind w:firstLine="643" w:firstLineChars="200"/>
        <w:jc w:val="both"/>
        <w:rPr>
          <w:rFonts w:ascii="Times New Roman" w:hAnsi="Times New Roman" w:eastAsia="仿宋_GB2312"/>
          <w:color w:val="000000"/>
          <w:kern w:val="2"/>
          <w:sz w:val="32"/>
          <w:szCs w:val="32"/>
        </w:rPr>
      </w:pPr>
      <w:r>
        <w:rPr>
          <w:rFonts w:hint="eastAsia" w:ascii="Times New Roman" w:hAnsi="Times New Roman" w:eastAsia="仿宋_GB2312"/>
          <w:b/>
          <w:bCs/>
          <w:color w:val="000000"/>
          <w:kern w:val="2"/>
          <w:sz w:val="32"/>
          <w:szCs w:val="32"/>
        </w:rPr>
        <w:t>——</w:t>
      </w:r>
      <w:r>
        <w:rPr>
          <w:rFonts w:ascii="Times New Roman" w:hAnsi="Times New Roman" w:eastAsia="仿宋_GB2312"/>
          <w:b/>
          <w:bCs/>
          <w:color w:val="000000"/>
          <w:kern w:val="2"/>
          <w:sz w:val="32"/>
          <w:szCs w:val="32"/>
        </w:rPr>
        <w:t>发展质效取得新突破。</w:t>
      </w:r>
      <w:r>
        <w:rPr>
          <w:rFonts w:ascii="Times New Roman" w:hAnsi="Times New Roman" w:eastAsia="仿宋_GB2312"/>
          <w:color w:val="000000"/>
          <w:kern w:val="2"/>
          <w:sz w:val="32"/>
          <w:szCs w:val="32"/>
        </w:rPr>
        <w:t>加快打造现代能源、绿色农畜食品产业链和全域旅游、口岸经济产业群，以能源、口岸、园区为主要载体的现代化产业体系初具规模。</w:t>
      </w:r>
    </w:p>
    <w:p w14:paraId="15C58FF4">
      <w:pPr>
        <w:widowControl w:val="0"/>
        <w:spacing w:line="640" w:lineRule="exact"/>
        <w:ind w:firstLine="643" w:firstLineChars="200"/>
        <w:jc w:val="both"/>
        <w:rPr>
          <w:rFonts w:ascii="Times New Roman" w:hAnsi="Times New Roman" w:eastAsia="仿宋_GB2312"/>
          <w:color w:val="000000"/>
          <w:kern w:val="2"/>
          <w:sz w:val="32"/>
          <w:szCs w:val="32"/>
        </w:rPr>
      </w:pPr>
      <w:r>
        <w:rPr>
          <w:rFonts w:hint="eastAsia" w:ascii="Times New Roman" w:hAnsi="Times New Roman" w:eastAsia="仿宋_GB2312"/>
          <w:b/>
          <w:bCs/>
          <w:color w:val="000000"/>
          <w:kern w:val="2"/>
          <w:sz w:val="32"/>
          <w:szCs w:val="32"/>
        </w:rPr>
        <w:t>——</w:t>
      </w:r>
      <w:r>
        <w:rPr>
          <w:rFonts w:ascii="Times New Roman" w:hAnsi="Times New Roman" w:eastAsia="仿宋_GB2312"/>
          <w:b/>
          <w:bCs/>
          <w:color w:val="000000"/>
          <w:kern w:val="2"/>
          <w:sz w:val="32"/>
          <w:szCs w:val="32"/>
        </w:rPr>
        <w:t>生态建设取得新突破。</w:t>
      </w:r>
      <w:r>
        <w:rPr>
          <w:rFonts w:ascii="Times New Roman" w:hAnsi="Times New Roman" w:eastAsia="仿宋_GB2312"/>
          <w:color w:val="000000"/>
          <w:kern w:val="2"/>
          <w:sz w:val="32"/>
          <w:szCs w:val="32"/>
        </w:rPr>
        <w:t>以草原生态保护和修复为主，统筹山水林田湖草沙一体化保护和修复机制基本形成，生态安全屏障功能不断强化，形成人与自然和谐发展新格局。</w:t>
      </w:r>
    </w:p>
    <w:p w14:paraId="459E0ADF">
      <w:pPr>
        <w:widowControl w:val="0"/>
        <w:spacing w:line="640" w:lineRule="exact"/>
        <w:ind w:firstLine="643" w:firstLineChars="200"/>
        <w:jc w:val="both"/>
        <w:rPr>
          <w:rFonts w:ascii="Times New Roman" w:hAnsi="Times New Roman" w:eastAsia="仿宋_GB2312"/>
          <w:color w:val="000000"/>
          <w:kern w:val="2"/>
          <w:sz w:val="32"/>
          <w:szCs w:val="32"/>
        </w:rPr>
      </w:pPr>
      <w:r>
        <w:rPr>
          <w:rFonts w:hint="eastAsia" w:ascii="Times New Roman" w:hAnsi="Times New Roman" w:eastAsia="仿宋_GB2312"/>
          <w:b/>
          <w:bCs/>
          <w:color w:val="000000"/>
          <w:kern w:val="2"/>
          <w:sz w:val="32"/>
          <w:szCs w:val="32"/>
        </w:rPr>
        <w:t>——</w:t>
      </w:r>
      <w:r>
        <w:rPr>
          <w:rFonts w:ascii="Times New Roman" w:hAnsi="Times New Roman" w:eastAsia="仿宋_GB2312"/>
          <w:b/>
          <w:bCs/>
          <w:color w:val="000000"/>
          <w:kern w:val="2"/>
          <w:sz w:val="32"/>
          <w:szCs w:val="32"/>
        </w:rPr>
        <w:t>深化改革取得新突破。</w:t>
      </w:r>
      <w:r>
        <w:rPr>
          <w:rFonts w:ascii="Times New Roman" w:hAnsi="Times New Roman" w:eastAsia="仿宋_GB2312"/>
          <w:color w:val="000000"/>
          <w:kern w:val="2"/>
          <w:sz w:val="32"/>
          <w:szCs w:val="32"/>
        </w:rPr>
        <w:t>国有企业、要素市场等重点改革率先突破，重要领域和关键环节改革取得重大成果。保护发展、服务发展、支持发展的法治体系更加完善，营商环境跃居一流。</w:t>
      </w:r>
    </w:p>
    <w:p w14:paraId="244EA388">
      <w:pPr>
        <w:widowControl w:val="0"/>
        <w:spacing w:line="640" w:lineRule="exact"/>
        <w:ind w:firstLine="643" w:firstLineChars="200"/>
        <w:jc w:val="both"/>
        <w:rPr>
          <w:rFonts w:ascii="Times New Roman" w:hAnsi="Times New Roman" w:eastAsia="仿宋_GB2312"/>
          <w:color w:val="000000"/>
          <w:kern w:val="2"/>
          <w:sz w:val="32"/>
          <w:szCs w:val="32"/>
        </w:rPr>
      </w:pPr>
      <w:r>
        <w:rPr>
          <w:rFonts w:hint="eastAsia" w:ascii="Times New Roman" w:hAnsi="Times New Roman" w:eastAsia="仿宋_GB2312"/>
          <w:b/>
          <w:bCs/>
          <w:color w:val="000000"/>
          <w:kern w:val="2"/>
          <w:sz w:val="32"/>
          <w:szCs w:val="32"/>
        </w:rPr>
        <w:t>——</w:t>
      </w:r>
      <w:r>
        <w:rPr>
          <w:rFonts w:ascii="Times New Roman" w:hAnsi="Times New Roman" w:eastAsia="仿宋_GB2312"/>
          <w:b/>
          <w:bCs/>
          <w:color w:val="000000"/>
          <w:kern w:val="2"/>
          <w:sz w:val="32"/>
          <w:szCs w:val="32"/>
        </w:rPr>
        <w:t>治理效能取得新突破。</w:t>
      </w:r>
      <w:r>
        <w:rPr>
          <w:rFonts w:ascii="Times New Roman" w:hAnsi="Times New Roman" w:eastAsia="仿宋_GB2312"/>
          <w:color w:val="000000"/>
          <w:kern w:val="2"/>
          <w:sz w:val="32"/>
          <w:szCs w:val="32"/>
        </w:rPr>
        <w:t>城镇探索分片区、分时段差别化治理，农村牧区全面推进乡村振兴，边境地区和谐安宁、民族团结大好局面更加稳固。</w:t>
      </w:r>
    </w:p>
    <w:p w14:paraId="772FC20D">
      <w:pPr>
        <w:widowControl w:val="0"/>
        <w:spacing w:line="64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color w:val="000000"/>
          <w:kern w:val="2"/>
          <w:sz w:val="32"/>
          <w:szCs w:val="32"/>
        </w:rPr>
        <w:t>——</w:t>
      </w:r>
      <w:r>
        <w:rPr>
          <w:rFonts w:ascii="Times New Roman" w:hAnsi="Times New Roman" w:eastAsia="仿宋_GB2312"/>
          <w:b/>
          <w:bCs/>
          <w:color w:val="000000"/>
          <w:kern w:val="2"/>
          <w:sz w:val="32"/>
          <w:szCs w:val="32"/>
        </w:rPr>
        <w:t>民生福祉取得新突破。</w:t>
      </w:r>
      <w:r>
        <w:rPr>
          <w:rFonts w:ascii="Times New Roman" w:hAnsi="Times New Roman" w:eastAsia="仿宋_GB2312"/>
          <w:color w:val="000000"/>
          <w:kern w:val="2"/>
          <w:sz w:val="32"/>
          <w:szCs w:val="32"/>
        </w:rPr>
        <w:t>社会文明程度得到明显提高，中华民族共同体意识深入人心，就业、教育、文化、社保、卫生、医疗、住房保障等公共服务体系更加健全。</w:t>
      </w:r>
    </w:p>
    <w:p w14:paraId="10C8AD84">
      <w:pPr>
        <w:pStyle w:val="4"/>
      </w:pPr>
      <w:r>
        <w:rPr>
          <w:rFonts w:hint="eastAsia"/>
        </w:rPr>
        <w:t>第三节 发展目标</w:t>
      </w:r>
      <w:bookmarkEnd w:id="9"/>
    </w:p>
    <w:p w14:paraId="60623007">
      <w:pPr>
        <w:spacing w:line="640" w:lineRule="exact"/>
        <w:ind w:firstLine="480" w:firstLineChars="150"/>
        <w:rPr>
          <w:rFonts w:ascii="仿宋_GB2312" w:hAnsi="仿宋" w:eastAsia="仿宋_GB2312"/>
          <w:sz w:val="32"/>
          <w:szCs w:val="32"/>
        </w:rPr>
      </w:pPr>
      <w:r>
        <w:rPr>
          <w:rFonts w:hint="eastAsia" w:ascii="仿宋_GB2312" w:hAnsi="仿宋" w:eastAsia="仿宋_GB2312"/>
          <w:sz w:val="32"/>
          <w:szCs w:val="32"/>
        </w:rPr>
        <w:t>“十四五”发展</w:t>
      </w:r>
      <w:r>
        <w:rPr>
          <w:rFonts w:hint="eastAsia" w:ascii="仿宋_GB2312" w:hAnsi="仿宋_GB2312" w:eastAsia="仿宋_GB2312" w:cs="仿宋_GB2312"/>
          <w:sz w:val="32"/>
          <w:szCs w:val="32"/>
        </w:rPr>
        <w:t>目标：综合考虑国内外、区内外发展趋势和我旗发展条件，经过五年不懈奋斗，我旗经济转型取得重大突破，现代化经济体系加快构建；改革开放迈出重要步伐，对外开放新高地建设取得标志性成果；生态文明建设取得重大进步，以草原生态保护和修复为主，统筹山水林田湖草一体化保护和修复机制基本形成，生态安全屏障功能不断强化；社会文明程度得到明显提高，中华民族共同体意识深深扎根，公共文化体育服务体系更加健全；民生福祉达到</w:t>
      </w:r>
      <w:r>
        <w:rPr>
          <w:rFonts w:hint="eastAsia" w:ascii="仿宋_GB2312" w:hAnsi="仿宋" w:eastAsia="仿宋_GB2312"/>
          <w:sz w:val="32"/>
          <w:szCs w:val="32"/>
        </w:rPr>
        <w:t>更高水平，人民幸福感、获得感、安全感持续增强；治理效能得到新的提升，共建共治共享的社会治理格局加快形成；现代化建设各项事业实现新的更大发展，综合竞争力和投资潜力在全市全区位次不断前移，以生态优先、绿色发展为导向的高质量发展取得实质性进展。</w:t>
      </w:r>
    </w:p>
    <w:p w14:paraId="11AB8E71">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hint="eastAsia" w:ascii="宋体" w:hAnsi="宋体" w:cs="宋体"/>
          <w:sz w:val="32"/>
          <w:szCs w:val="32"/>
        </w:rPr>
        <w:t>〇</w:t>
      </w:r>
      <w:r>
        <w:rPr>
          <w:rFonts w:hint="eastAsia" w:ascii="仿宋_GB2312" w:hAnsi="仿宋_GB2312" w:eastAsia="仿宋_GB2312" w:cs="仿宋_GB2312"/>
          <w:sz w:val="32"/>
          <w:szCs w:val="32"/>
        </w:rPr>
        <w:t>三五年远景目标</w:t>
      </w:r>
      <w:r>
        <w:rPr>
          <w:rFonts w:hint="eastAsia" w:ascii="仿宋_GB2312" w:hAnsi="仿宋" w:eastAsia="仿宋_GB2312"/>
          <w:sz w:val="32"/>
          <w:szCs w:val="32"/>
        </w:rPr>
        <w:t>：根据党中央、自治区党委、市委</w:t>
      </w:r>
    </w:p>
    <w:p w14:paraId="1BAE2A8C">
      <w:pPr>
        <w:spacing w:line="640" w:lineRule="exact"/>
        <w:rPr>
          <w:rFonts w:ascii="仿宋_GB2312" w:hAnsi="仿宋" w:eastAsia="仿宋_GB2312"/>
          <w:sz w:val="32"/>
          <w:szCs w:val="32"/>
        </w:rPr>
      </w:pPr>
      <w:r>
        <w:rPr>
          <w:rFonts w:hint="eastAsia" w:ascii="仿宋_GB2312" w:hAnsi="仿宋" w:eastAsia="仿宋_GB2312"/>
          <w:sz w:val="32"/>
          <w:szCs w:val="32"/>
        </w:rPr>
        <w:t>对实现第二个百年奋斗目标的战略安排和基本实现社会主义现代化的远景目标，按照习近平总书记“建设亮丽内蒙古，共圆伟大中国梦”的期望要求，到 2035 年，我旗与全区全市同步基本实现现代化。综合经济实力和综合发展水平大幅跃升，经济总量和城乡居民人均收入迈上新的台阶，人均国内生产总值进入包头市前列；产业结构、基础设施瓶颈制约全面突破，符合战略定位、富有地区特色的现代产业体系、开放发展体系、新型城镇体系和基础设施体系全面建成，新型工业化、信息化、城镇化、农牧业现代化基本实现；地区文化软实力显著增强，人民素质、全社会文明程度和各民族团结进步达到新高度；碳排放达峰后稳中有降，生态环境根本好转，经济社会发展全面绿色转型，绿色生产生活方式广泛形成，美丽新达茂基本建成；各方面制度更加配套完善，治理体系和治理能力现代化基本实现，更高水平的平安达茂、法治达茂基本建成；各项社会事业长足进步，优质教育资源实现均衡共享，健康达茂基本建成，基本公共服务实现均等化，中等收入群体显著扩大，城乡区域发展差距和居民生活水平差距显著缩小，各族人民生活更加美好。</w:t>
      </w:r>
    </w:p>
    <w:p w14:paraId="48F7897F">
      <w:pPr>
        <w:pStyle w:val="2"/>
        <w:widowControl w:val="0"/>
        <w:spacing w:after="0" w:line="640" w:lineRule="exact"/>
        <w:ind w:firstLine="640"/>
        <w:jc w:val="both"/>
        <w:rPr>
          <w:rFonts w:ascii="仿宋_GB2312" w:hAnsi="Times New Roman" w:eastAsia="仿宋_GB2312"/>
          <w:color w:val="000000"/>
          <w:szCs w:val="32"/>
        </w:rPr>
      </w:pPr>
      <w:r>
        <w:rPr>
          <w:rFonts w:ascii="Times New Roman" w:hAnsi="Times New Roman" w:eastAsia="仿宋_GB2312"/>
          <w:color w:val="000000"/>
          <w:szCs w:val="32"/>
        </w:rPr>
        <w:t>着眼高质量发展未来，</w:t>
      </w:r>
      <w:r>
        <w:rPr>
          <w:rFonts w:ascii="Times New Roman" w:hAnsi="Times New Roman" w:eastAsia="仿宋_GB2312"/>
          <w:bCs/>
          <w:color w:val="000000"/>
          <w:szCs w:val="32"/>
        </w:rPr>
        <w:t>打造</w:t>
      </w:r>
      <w:r>
        <w:rPr>
          <w:rFonts w:ascii="Times New Roman" w:hAnsi="Times New Roman" w:eastAsia="仿宋_GB2312"/>
          <w:b/>
          <w:bCs/>
          <w:color w:val="000000"/>
          <w:szCs w:val="32"/>
        </w:rPr>
        <w:t>能源、口岸、园区“三大载体”，</w:t>
      </w:r>
      <w:r>
        <w:rPr>
          <w:rFonts w:ascii="Times New Roman" w:hAnsi="Times New Roman" w:eastAsia="仿宋_GB2312"/>
          <w:color w:val="000000"/>
          <w:szCs w:val="32"/>
        </w:rPr>
        <w:t>夯实产业发展基础，突出能源主导作用、口岸开放作用、园区支撑作用，形成三位一体强力拉动经济的局面。</w:t>
      </w:r>
      <w:r>
        <w:rPr>
          <w:rFonts w:ascii="Times New Roman" w:hAnsi="Times New Roman" w:eastAsia="仿宋_GB2312"/>
          <w:bCs/>
          <w:color w:val="000000"/>
          <w:szCs w:val="32"/>
        </w:rPr>
        <w:t>加快</w:t>
      </w:r>
      <w:r>
        <w:rPr>
          <w:rFonts w:ascii="Times New Roman" w:hAnsi="Times New Roman" w:eastAsia="仿宋_GB2312"/>
          <w:b/>
          <w:bCs/>
          <w:color w:val="000000"/>
          <w:szCs w:val="32"/>
        </w:rPr>
        <w:t>农牧、文旅、生态“三业融合”，</w:t>
      </w:r>
      <w:r>
        <w:rPr>
          <w:rFonts w:ascii="Times New Roman" w:hAnsi="Times New Roman" w:eastAsia="仿宋_GB2312"/>
          <w:color w:val="000000"/>
          <w:szCs w:val="32"/>
        </w:rPr>
        <w:t>唱响绿色发展主旋律，做大做优农牧业、文化旅游业和生态产业，增强乡村振兴能力。</w:t>
      </w:r>
      <w:r>
        <w:rPr>
          <w:rFonts w:ascii="Times New Roman" w:hAnsi="Times New Roman" w:eastAsia="仿宋_GB2312"/>
          <w:bCs/>
          <w:color w:val="000000"/>
          <w:szCs w:val="32"/>
        </w:rPr>
        <w:t>聚力</w:t>
      </w:r>
      <w:r>
        <w:rPr>
          <w:rFonts w:ascii="Times New Roman" w:hAnsi="Times New Roman" w:eastAsia="仿宋_GB2312"/>
          <w:b/>
          <w:bCs/>
          <w:color w:val="000000"/>
          <w:szCs w:val="32"/>
        </w:rPr>
        <w:t>民生、社会、城建“三个提升”，</w:t>
      </w:r>
      <w:r>
        <w:rPr>
          <w:rFonts w:ascii="Times New Roman" w:hAnsi="Times New Roman" w:eastAsia="仿宋_GB2312"/>
          <w:color w:val="000000"/>
          <w:szCs w:val="32"/>
        </w:rPr>
        <w:t>全面提升民生保障、公共服务和城乡建设发展水平，解决群众最关心、最直接、最现实的问题，增强群众幸福感、获得感、安全感。</w:t>
      </w:r>
      <w:r>
        <w:rPr>
          <w:rFonts w:ascii="Times New Roman" w:hAnsi="Times New Roman" w:eastAsia="仿宋_GB2312"/>
          <w:bCs/>
          <w:color w:val="000000"/>
          <w:szCs w:val="32"/>
        </w:rPr>
        <w:t>扛起</w:t>
      </w:r>
      <w:r>
        <w:rPr>
          <w:rFonts w:ascii="Times New Roman" w:hAnsi="Times New Roman" w:eastAsia="仿宋_GB2312"/>
          <w:b/>
          <w:bCs/>
          <w:color w:val="000000"/>
          <w:szCs w:val="32"/>
        </w:rPr>
        <w:t>生态建设、民族团结、边疆稳固“三大责任”，</w:t>
      </w:r>
      <w:r>
        <w:rPr>
          <w:rFonts w:hint="eastAsia" w:ascii="仿宋_GB2312" w:hAnsi="Times New Roman" w:eastAsia="仿宋_GB2312"/>
          <w:color w:val="000000"/>
          <w:szCs w:val="32"/>
        </w:rPr>
        <w:t>守住发展和安全底线，推动生态环境持续向好，解决影响社会稳定大局的各种问题，筑牢“两个屏障”。</w:t>
      </w:r>
    </w:p>
    <w:p w14:paraId="51376DC1">
      <w:pPr>
        <w:spacing w:line="640" w:lineRule="exact"/>
        <w:ind w:firstLine="640" w:firstLineChars="200"/>
        <w:rPr>
          <w:rFonts w:ascii="仿宋_GB2312" w:hAnsi="仿宋" w:eastAsia="仿宋_GB2312"/>
          <w:sz w:val="32"/>
          <w:szCs w:val="32"/>
        </w:rPr>
      </w:pPr>
      <w:r>
        <w:rPr>
          <w:rFonts w:hint="eastAsia" w:ascii="楷体_GB2312" w:hAnsi="楷体" w:eastAsia="楷体_GB2312" w:cs="楷体"/>
          <w:kern w:val="2"/>
          <w:sz w:val="32"/>
          <w:szCs w:val="32"/>
        </w:rPr>
        <w:t>——建成全市经济发展的重要增长极。</w:t>
      </w:r>
      <w:r>
        <w:rPr>
          <w:rFonts w:hint="eastAsia" w:ascii="仿宋_GB2312" w:hAnsi="仿宋" w:eastAsia="仿宋_GB2312"/>
          <w:sz w:val="32"/>
          <w:szCs w:val="32"/>
        </w:rPr>
        <w:t>围绕包头市</w:t>
      </w:r>
      <w:r>
        <w:rPr>
          <w:rFonts w:hint="eastAsia" w:ascii="仿宋_GB2312" w:hAnsi="仿宋" w:eastAsia="仿宋_GB2312"/>
          <w:b/>
          <w:sz w:val="32"/>
          <w:szCs w:val="32"/>
        </w:rPr>
        <w:t xml:space="preserve"> “四基地两中心一高地一体系”</w:t>
      </w:r>
      <w:r>
        <w:rPr>
          <w:rFonts w:hint="eastAsia" w:ascii="仿宋_GB2312" w:hAnsi="仿宋" w:eastAsia="仿宋_GB2312"/>
          <w:sz w:val="32"/>
          <w:szCs w:val="32"/>
        </w:rPr>
        <w:t>发展定位，立足实际，找准定位，特色发展，大力培育新产业、新动能、新增长极，基本形成多元发展、多极支撑的现代产业体系，为全市高质量发展作出积极贡献。</w:t>
      </w:r>
    </w:p>
    <w:p w14:paraId="548FAC32">
      <w:pPr>
        <w:spacing w:line="640" w:lineRule="exact"/>
        <w:ind w:firstLine="643" w:firstLineChars="200"/>
        <w:rPr>
          <w:rFonts w:ascii="仿宋_GB2312" w:hAnsi="仿宋" w:eastAsia="仿宋_GB2312"/>
          <w:sz w:val="32"/>
          <w:szCs w:val="32"/>
        </w:rPr>
      </w:pPr>
      <w:r>
        <w:rPr>
          <w:rFonts w:hint="eastAsia" w:ascii="仿宋_GB2312" w:hAnsi="仿宋" w:eastAsia="仿宋_GB2312"/>
          <w:b/>
          <w:sz w:val="32"/>
          <w:szCs w:val="32"/>
        </w:rPr>
        <w:t>发展新型材料产业。</w:t>
      </w:r>
      <w:r>
        <w:rPr>
          <w:rFonts w:hint="eastAsia" w:ascii="仿宋_GB2312" w:hAnsi="仿宋" w:eastAsia="仿宋_GB2312"/>
          <w:sz w:val="32"/>
          <w:szCs w:val="32"/>
        </w:rPr>
        <w:t>依托呼包鄂地区产业基础、蒙古国矿产资源进口优势，应用先进技术、先进工艺，推动钢铁稀土等原材料工业高端化、智能化、绿色化转型，承接发展稀土新材料、先进有色金属材料、先进化工新材料等新型材料产业，完善配套服务体系、延伸产业链条，做大做强钢铁稀土及以晶硅、萤石为基础的新型材料产业集群，推动我旗优势材料产品进入高端供应链，成为包头市新型材料产业基地的重要一环。</w:t>
      </w:r>
    </w:p>
    <w:p w14:paraId="41DCA156">
      <w:pPr>
        <w:spacing w:line="640" w:lineRule="exact"/>
        <w:ind w:firstLine="643" w:firstLineChars="200"/>
        <w:rPr>
          <w:rFonts w:ascii="仿宋_GB2312" w:hAnsi="仿宋" w:eastAsia="仿宋_GB2312"/>
          <w:sz w:val="32"/>
          <w:szCs w:val="32"/>
        </w:rPr>
      </w:pPr>
      <w:r>
        <w:rPr>
          <w:rFonts w:ascii="Times New Roman" w:hAnsi="Times New Roman" w:eastAsia="仿宋_GB2312"/>
          <w:b/>
          <w:bCs/>
          <w:color w:val="000000"/>
          <w:sz w:val="32"/>
          <w:szCs w:val="32"/>
        </w:rPr>
        <w:t>打造千万千瓦级新能源基地。</w:t>
      </w:r>
      <w:r>
        <w:rPr>
          <w:rFonts w:hint="eastAsia" w:ascii="仿宋_GB2312" w:hAnsi="仿宋" w:eastAsia="仿宋_GB2312"/>
          <w:sz w:val="32"/>
          <w:szCs w:val="32"/>
        </w:rPr>
        <w:t>抢抓新一轮能源革命机遇，集聚新能源规模化发展优势，以风电、光电、氢能为重点，增加清洁能源供给，统筹推进能源资源一体化开发利用，优先推动新能源就地消纳，建设新能源产储供运销体系，启动碳捕集、封存与利用技术应用示范，推动绿色、零碳产业发展，配套引进新能源装备制造，建设国家可再生能源综合应用示范区，成为包头市现代能源产业基地的主战场、供给端。</w:t>
      </w:r>
    </w:p>
    <w:p w14:paraId="62BA8D56">
      <w:pPr>
        <w:spacing w:line="640" w:lineRule="exact"/>
        <w:ind w:firstLine="643" w:firstLineChars="200"/>
        <w:rPr>
          <w:rFonts w:ascii="仿宋_GB2312" w:hAnsi="仿宋" w:eastAsia="仿宋_GB2312"/>
          <w:sz w:val="32"/>
          <w:szCs w:val="32"/>
        </w:rPr>
      </w:pPr>
      <w:r>
        <w:rPr>
          <w:rFonts w:ascii="Times New Roman" w:hAnsi="Times New Roman" w:eastAsia="仿宋_GB2312"/>
          <w:b/>
          <w:bCs/>
          <w:color w:val="000000"/>
          <w:sz w:val="32"/>
          <w:szCs w:val="32"/>
        </w:rPr>
        <w:t>建设绿色农畜食品产业基地。</w:t>
      </w:r>
      <w:r>
        <w:rPr>
          <w:rFonts w:hint="eastAsia" w:ascii="仿宋_GB2312" w:hAnsi="仿宋" w:eastAsia="仿宋_GB2312"/>
          <w:sz w:val="32"/>
          <w:szCs w:val="32"/>
        </w:rPr>
        <w:t>围绕达茂旗牛羊肉、小杂粮、马铃薯等特色农畜产品和黄芪等中药材资源，加快一二三产业融合发展，培育新型经营主体，建设草原生态畜牧业试点示范，做大绿色特色品牌，加快推进蒙古国肉类产品加工，打造集精深加工、安全储存、现代物流为一体的农畜食品产业链，推动农畜食品产业向规模化、标准化、品牌化、绿色化方向发展，建成面向京津冀和呼包鄂城市群的“中央厨房”。</w:t>
      </w:r>
    </w:p>
    <w:p w14:paraId="6D7F9B23">
      <w:pPr>
        <w:spacing w:line="640" w:lineRule="exact"/>
        <w:ind w:firstLine="643" w:firstLineChars="200"/>
        <w:rPr>
          <w:rFonts w:ascii="仿宋_GB2312" w:hAnsi="仿宋" w:eastAsia="仿宋_GB2312"/>
          <w:sz w:val="32"/>
          <w:szCs w:val="32"/>
        </w:rPr>
      </w:pPr>
      <w:r>
        <w:rPr>
          <w:rFonts w:hint="eastAsia" w:ascii="仿宋_GB2312" w:hAnsi="仿宋" w:eastAsia="仿宋_GB2312"/>
          <w:b/>
          <w:sz w:val="32"/>
          <w:szCs w:val="32"/>
        </w:rPr>
        <w:t>建设服务业中心。</w:t>
      </w:r>
      <w:r>
        <w:rPr>
          <w:rFonts w:hint="eastAsia" w:ascii="仿宋_GB2312" w:hAnsi="仿宋" w:eastAsia="仿宋_GB2312"/>
          <w:sz w:val="32"/>
          <w:szCs w:val="32"/>
        </w:rPr>
        <w:t>按照便利化、高端化、品质化要求，加快发展生产性服务业、生活性服务业、公共服务业，大力发展物流、商贸、金融、文化旅游、健康养老等产业，推动服务业市场主体数量持续增长、规模不断扩大，提升现代服务业整体水平。立足我旗深厚的历史文化底蕴和优美的草原自然风光，重点实施“旅游+”融合工程，推动旅游与文化、生态、康养、研学等深度融合，发展智慧旅游，实现旅游产业标准化、规范化发展，创建国家全域旅游示范区，成为全国知名旅游目的地。</w:t>
      </w:r>
    </w:p>
    <w:p w14:paraId="163F983B">
      <w:pPr>
        <w:spacing w:line="640" w:lineRule="exact"/>
        <w:ind w:firstLine="643" w:firstLineChars="200"/>
        <w:rPr>
          <w:rFonts w:ascii="仿宋_GB2312" w:hAnsi="仿宋" w:eastAsia="仿宋_GB2312"/>
          <w:sz w:val="32"/>
          <w:szCs w:val="32"/>
        </w:rPr>
      </w:pPr>
      <w:r>
        <w:rPr>
          <w:rFonts w:hint="eastAsia" w:ascii="仿宋_GB2312" w:hAnsi="仿宋" w:eastAsia="仿宋_GB2312"/>
          <w:b/>
          <w:sz w:val="32"/>
          <w:szCs w:val="32"/>
        </w:rPr>
        <w:t>建设创新中心。</w:t>
      </w:r>
      <w:r>
        <w:rPr>
          <w:rFonts w:hint="eastAsia" w:ascii="仿宋_GB2312" w:hAnsi="仿宋" w:eastAsia="仿宋_GB2312"/>
          <w:sz w:val="32"/>
          <w:szCs w:val="32"/>
        </w:rPr>
        <w:t>坚持以开放促改革、促发展、促创新，全方位深化与呼包鄂榆城市群产业分工合作，主动对接京津冀、长三角、珠三角等先进发达地区创新资源，吸引更多创新要素集聚。发挥好企业主体作用，联合高校、科研机构开展科技攻关项目，积极承接技术成果转移转化辐射，打造科创合作示范平台，更好地支撑引领产业转型升级。实施更积极、更开放、更有效的人才政策，创新“候鸟型”人才引进和使用机制，提高专业领域科技综合实力、自主创新能力。</w:t>
      </w:r>
    </w:p>
    <w:p w14:paraId="28C3EF51">
      <w:pPr>
        <w:spacing w:line="640" w:lineRule="exact"/>
        <w:ind w:firstLine="643" w:firstLineChars="200"/>
        <w:rPr>
          <w:rFonts w:ascii="仿宋_GB2312" w:hAnsi="仿宋" w:eastAsia="仿宋_GB2312"/>
          <w:sz w:val="32"/>
          <w:szCs w:val="32"/>
        </w:rPr>
      </w:pPr>
      <w:r>
        <w:rPr>
          <w:rFonts w:hint="eastAsia" w:ascii="仿宋_GB2312" w:hAnsi="仿宋" w:eastAsia="仿宋_GB2312"/>
          <w:b/>
          <w:sz w:val="32"/>
          <w:szCs w:val="32"/>
        </w:rPr>
        <w:t>打造对外开放新高地。</w:t>
      </w:r>
      <w:r>
        <w:rPr>
          <w:rFonts w:hint="eastAsia" w:ascii="仿宋_GB2312" w:hAnsi="仿宋" w:eastAsia="仿宋_GB2312"/>
          <w:sz w:val="32"/>
          <w:szCs w:val="32"/>
        </w:rPr>
        <w:t xml:space="preserve"> 深度融入“一带一路”、中蒙俄经济走廊建设，拓展对外交流合作，集中力量扩大口岸过货量，以满都拉口岸为支撑发展泛口岸经济，积极推进跨境经济合作区建设，完善提升口岸物流园区，打造“前港、中区、后城”一体化发展模式。加快跨境铁路、公路互联互通，以公路、铁路、航空等多式联运为支撑，大力发展对外贸易，构建物流、贸易、加工、商贸服务多种业态相互促进的开放型经济体系，建设国家重要口岸物流枢纽，成为包头市建设对外开放新高地的前沿阵地和“桥头堡”。</w:t>
      </w:r>
    </w:p>
    <w:p w14:paraId="27E7D3B0">
      <w:pPr>
        <w:spacing w:line="640" w:lineRule="exact"/>
        <w:ind w:firstLine="643" w:firstLineChars="200"/>
        <w:rPr>
          <w:rFonts w:ascii="仿宋_GB2312" w:hAnsi="仿宋" w:eastAsia="仿宋_GB2312"/>
          <w:sz w:val="32"/>
          <w:szCs w:val="32"/>
        </w:rPr>
      </w:pPr>
      <w:r>
        <w:rPr>
          <w:rFonts w:hint="eastAsia" w:ascii="仿宋_GB2312" w:hAnsi="仿宋" w:eastAsia="仿宋_GB2312"/>
          <w:b/>
          <w:sz w:val="32"/>
          <w:szCs w:val="32"/>
        </w:rPr>
        <w:t>建设现代化经济体系。</w:t>
      </w:r>
      <w:r>
        <w:rPr>
          <w:rFonts w:hint="eastAsia" w:ascii="仿宋_GB2312" w:hAnsi="仿宋" w:eastAsia="仿宋_GB2312"/>
          <w:sz w:val="32"/>
          <w:szCs w:val="32"/>
        </w:rPr>
        <w:t>坚持生态优先、绿色发展为导向，把发展经济的着力点放在实体经济上，以深化供给侧结构性改革为主线，提升农牧业产业规模化、名牌化、现代化水平，优化工业产业链供应链，做大做强特色优势产业，大力发展现代能源经济，提升现代服务业发展水平，健全现代流通体系，培育发展现代金融业，加快数字化经济发展，统筹推进基础设施建设，打造多元发展、多极支撑的现代产业新体系。</w:t>
      </w:r>
    </w:p>
    <w:p w14:paraId="6C66C07F">
      <w:pPr>
        <w:spacing w:line="640" w:lineRule="exact"/>
        <w:ind w:firstLine="640" w:firstLineChars="200"/>
        <w:rPr>
          <w:rFonts w:ascii="仿宋_GB2312" w:hAnsi="仿宋" w:eastAsia="仿宋_GB2312"/>
          <w:sz w:val="32"/>
          <w:szCs w:val="32"/>
        </w:rPr>
      </w:pPr>
      <w:r>
        <w:rPr>
          <w:rFonts w:hint="eastAsia" w:ascii="楷体_GB2312" w:hAnsi="楷体" w:eastAsia="楷体_GB2312" w:cs="楷体"/>
          <w:kern w:val="2"/>
          <w:sz w:val="32"/>
          <w:szCs w:val="32"/>
        </w:rPr>
        <w:t>——建成全市创新创业的新典范。</w:t>
      </w:r>
      <w:r>
        <w:rPr>
          <w:rFonts w:hint="eastAsia" w:ascii="仿宋_GB2312" w:hAnsi="仿宋" w:eastAsia="仿宋_GB2312"/>
          <w:sz w:val="32"/>
          <w:szCs w:val="32"/>
        </w:rPr>
        <w:t>对标先进地区先进做法，打造全国一流营商环境，市场环境、政策环境、法治环境更加公平，市场主体更加充满活力。用全面深化改革统领经济社会发展，农村牧区、生态文明建设等重点领域关键环节改革取得重大突破。深入推进大众创业、万众创新，鼓励支持企业创新、产业创新、业态创新，营造创新创业的全方位服务生态，创新更加开放的人才汇聚机制，推动新技术、新产品、新业态、新模式竞相迸发，成为边境少数民族地区创新创业的新典范。</w:t>
      </w:r>
    </w:p>
    <w:p w14:paraId="28791BD6">
      <w:pPr>
        <w:spacing w:line="640" w:lineRule="exact"/>
        <w:ind w:firstLine="640" w:firstLineChars="200"/>
        <w:rPr>
          <w:rFonts w:ascii="仿宋_GB2312" w:hAnsi="仿宋" w:eastAsia="仿宋_GB2312"/>
          <w:sz w:val="32"/>
          <w:szCs w:val="32"/>
        </w:rPr>
      </w:pPr>
      <w:r>
        <w:rPr>
          <w:rFonts w:hint="eastAsia" w:ascii="楷体_GB2312" w:hAnsi="楷体" w:eastAsia="楷体_GB2312" w:cs="楷体"/>
          <w:kern w:val="2"/>
          <w:sz w:val="32"/>
          <w:szCs w:val="32"/>
        </w:rPr>
        <w:t>——建成全市美丽宜居的后花园。</w:t>
      </w:r>
      <w:r>
        <w:rPr>
          <w:rFonts w:hint="eastAsia" w:ascii="仿宋_GB2312" w:hAnsi="仿宋" w:eastAsia="仿宋_GB2312"/>
          <w:sz w:val="32"/>
          <w:szCs w:val="32"/>
        </w:rPr>
        <w:t>聚焦碳达峰、碳中和，创建国家生态文明建设示范区，推进全域生态文明建设，统筹山水林田湖草系统保护和修复，草原生态环境全面大幅改善，优化国土空间开发保护格局，加快形成节约资源、保护环境的空间格局、产业格局和绿色低碳的产业结构、生产方式、生活方式，推动生态环境持续改善，生态安全屏障更加牢固。加快推进以人为核心的新型城镇化，百灵庙镇基本实现绿色化、智能化、人文化，其他城镇承载能力和服务水平整体提升，美丽生态宜居的新达茂基本建成。</w:t>
      </w:r>
    </w:p>
    <w:p w14:paraId="4E4AC896">
      <w:pPr>
        <w:pStyle w:val="10"/>
        <w:spacing w:line="640" w:lineRule="exact"/>
        <w:ind w:firstLine="640" w:firstLineChars="200"/>
        <w:jc w:val="both"/>
      </w:pPr>
      <w:r>
        <w:rPr>
          <w:rFonts w:hint="eastAsia" w:ascii="楷体_GB2312" w:hAnsi="楷体" w:eastAsia="楷体_GB2312" w:cs="楷体"/>
          <w:kern w:val="2"/>
        </w:rPr>
        <w:t>——建成全市幸福平安的北长城。</w:t>
      </w:r>
      <w:r>
        <w:rPr>
          <w:rFonts w:hint="eastAsia" w:ascii="仿宋_GB2312" w:hAnsi="仿宋" w:eastAsia="仿宋_GB2312"/>
        </w:rPr>
        <w:t>坚决贯彻总体国家安全观，统筹发展和安全，民族团结大局更加巩固发展，中华民族共同体意识深深扎根，平安达茂、法治达茂建设深入推进，社会治理水平明显提高，安全稳定屏障更加巩固。加快发展社会事业，实现更加充分更有质量的就业，城乡居民收入增长与经济增长基本同步，基本公共服务均等化水平明显提高，教育发展更加公平更高质量，多层次社会保障体系、卫生健康体系、公共文化服务体系进一步健全完善，人民群众获得感、幸福感、安全感不断提高。</w:t>
      </w:r>
    </w:p>
    <w:p w14:paraId="7AF29624">
      <w:pPr>
        <w:adjustRightInd/>
        <w:snapToGrid/>
        <w:spacing w:line="640" w:lineRule="exact"/>
        <w:rPr>
          <w:rFonts w:ascii="宋体"/>
          <w:b/>
          <w:bCs/>
          <w:sz w:val="28"/>
          <w:szCs w:val="28"/>
        </w:rPr>
      </w:pPr>
      <w:r>
        <w:rPr>
          <w:b/>
          <w:bCs/>
          <w:sz w:val="28"/>
          <w:szCs w:val="28"/>
        </w:rPr>
        <w:br w:type="page"/>
      </w:r>
    </w:p>
    <w:p w14:paraId="676D3C96">
      <w:pPr>
        <w:pStyle w:val="10"/>
        <w:spacing w:after="240" w:line="640" w:lineRule="exact"/>
        <w:ind w:firstLine="561"/>
        <w:jc w:val="center"/>
        <w:rPr>
          <w:b/>
          <w:bCs/>
          <w:sz w:val="28"/>
          <w:szCs w:val="28"/>
        </w:rPr>
      </w:pPr>
      <w:r>
        <w:rPr>
          <w:rFonts w:hint="eastAsia"/>
          <w:b/>
          <w:bCs/>
          <w:sz w:val="28"/>
          <w:szCs w:val="28"/>
        </w:rPr>
        <w:t>达茂旗“十四五”经济社会发展主要指标</w:t>
      </w:r>
    </w:p>
    <w:tbl>
      <w:tblPr>
        <w:tblStyle w:val="24"/>
        <w:tblW w:w="9184" w:type="dxa"/>
        <w:tblInd w:w="0" w:type="dxa"/>
        <w:tblLayout w:type="fixed"/>
        <w:tblCellMar>
          <w:top w:w="0" w:type="dxa"/>
          <w:left w:w="0" w:type="dxa"/>
          <w:bottom w:w="0" w:type="dxa"/>
          <w:right w:w="0" w:type="dxa"/>
        </w:tblCellMar>
      </w:tblPr>
      <w:tblGrid>
        <w:gridCol w:w="441"/>
        <w:gridCol w:w="708"/>
        <w:gridCol w:w="3686"/>
        <w:gridCol w:w="850"/>
        <w:gridCol w:w="850"/>
        <w:gridCol w:w="993"/>
        <w:gridCol w:w="993"/>
        <w:gridCol w:w="663"/>
      </w:tblGrid>
      <w:tr w14:paraId="5E249025">
        <w:tblPrEx>
          <w:tblCellMar>
            <w:top w:w="0" w:type="dxa"/>
            <w:left w:w="0" w:type="dxa"/>
            <w:bottom w:w="0" w:type="dxa"/>
            <w:right w:w="0" w:type="dxa"/>
          </w:tblCellMar>
        </w:tblPrEx>
        <w:trPr>
          <w:gridAfter w:val="1"/>
          <w:wAfter w:w="663" w:type="dxa"/>
          <w:trHeight w:val="589"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43300">
            <w:pPr>
              <w:jc w:val="center"/>
              <w:textAlignment w:val="center"/>
              <w:rPr>
                <w:rFonts w:ascii="宋体" w:hAnsi="宋体" w:cs="宋体"/>
                <w:b/>
                <w:kern w:val="2"/>
                <w:szCs w:val="21"/>
              </w:rPr>
            </w:pPr>
            <w:r>
              <w:rPr>
                <w:rFonts w:hint="eastAsia" w:ascii="宋体" w:hAnsi="宋体" w:cs="宋体"/>
                <w:b/>
                <w:kern w:val="2"/>
                <w:szCs w:val="21"/>
              </w:rPr>
              <w:t>序</w:t>
            </w:r>
          </w:p>
          <w:p w14:paraId="509018AA">
            <w:pPr>
              <w:jc w:val="center"/>
              <w:textAlignment w:val="center"/>
              <w:rPr>
                <w:rFonts w:ascii="宋体" w:hAnsi="宋体" w:cs="宋体"/>
                <w:b/>
                <w:kern w:val="2"/>
                <w:szCs w:val="21"/>
              </w:rPr>
            </w:pPr>
            <w:r>
              <w:rPr>
                <w:rFonts w:hint="eastAsia" w:ascii="宋体" w:hAnsi="宋体" w:cs="宋体"/>
                <w:b/>
                <w:kern w:val="2"/>
                <w:szCs w:val="21"/>
              </w:rPr>
              <w:t>号</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028CE">
            <w:pPr>
              <w:jc w:val="center"/>
              <w:textAlignment w:val="center"/>
              <w:rPr>
                <w:rFonts w:ascii="宋体" w:hAnsi="宋体" w:cs="宋体"/>
                <w:b/>
                <w:kern w:val="2"/>
                <w:szCs w:val="21"/>
              </w:rPr>
            </w:pPr>
            <w:r>
              <w:rPr>
                <w:rFonts w:hint="eastAsia" w:ascii="宋体" w:hAnsi="宋体" w:cs="宋体"/>
                <w:b/>
                <w:kern w:val="2"/>
                <w:szCs w:val="21"/>
              </w:rPr>
              <w:t>类别</w:t>
            </w: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20C07E">
            <w:pPr>
              <w:jc w:val="center"/>
              <w:textAlignment w:val="center"/>
              <w:rPr>
                <w:rFonts w:ascii="宋体" w:hAnsi="宋体" w:cs="宋体"/>
                <w:b/>
                <w:kern w:val="2"/>
                <w:szCs w:val="21"/>
              </w:rPr>
            </w:pPr>
            <w:r>
              <w:rPr>
                <w:rFonts w:hint="eastAsia" w:ascii="宋体" w:hAnsi="宋体" w:cs="宋体"/>
                <w:b/>
                <w:kern w:val="2"/>
                <w:szCs w:val="21"/>
              </w:rPr>
              <w:t>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DBF696">
            <w:pPr>
              <w:jc w:val="center"/>
              <w:textAlignment w:val="center"/>
              <w:rPr>
                <w:rFonts w:ascii="宋体" w:hAnsi="宋体" w:cs="宋体"/>
                <w:b/>
                <w:kern w:val="2"/>
                <w:szCs w:val="21"/>
              </w:rPr>
            </w:pPr>
            <w:r>
              <w:rPr>
                <w:rFonts w:hint="eastAsia" w:ascii="宋体" w:hAnsi="宋体" w:cs="宋体"/>
                <w:b/>
                <w:kern w:val="2"/>
                <w:szCs w:val="21"/>
              </w:rPr>
              <w:t>2020年达到</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243E84">
            <w:pPr>
              <w:jc w:val="center"/>
              <w:textAlignment w:val="center"/>
              <w:rPr>
                <w:rFonts w:ascii="宋体" w:hAnsi="宋体" w:cs="宋体"/>
                <w:b/>
                <w:kern w:val="2"/>
                <w:szCs w:val="21"/>
              </w:rPr>
            </w:pPr>
            <w:r>
              <w:rPr>
                <w:rFonts w:hint="eastAsia" w:ascii="宋体" w:hAnsi="宋体" w:cs="宋体"/>
                <w:b/>
                <w:kern w:val="2"/>
                <w:szCs w:val="21"/>
              </w:rPr>
              <w:t>2025年规划</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796FFE">
            <w:pPr>
              <w:jc w:val="center"/>
              <w:textAlignment w:val="center"/>
              <w:rPr>
                <w:rFonts w:ascii="宋体" w:hAnsi="宋体" w:cs="宋体"/>
                <w:b/>
                <w:kern w:val="2"/>
                <w:szCs w:val="21"/>
              </w:rPr>
            </w:pPr>
            <w:r>
              <w:rPr>
                <w:rFonts w:hint="eastAsia" w:ascii="宋体" w:hAnsi="宋体" w:cs="宋体"/>
                <w:b/>
                <w:kern w:val="2"/>
                <w:szCs w:val="21"/>
              </w:rPr>
              <w:t>年均增速%</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86A5F0">
            <w:pPr>
              <w:jc w:val="center"/>
              <w:textAlignment w:val="center"/>
              <w:rPr>
                <w:rFonts w:ascii="宋体" w:hAnsi="宋体" w:cs="宋体"/>
                <w:b/>
                <w:kern w:val="2"/>
                <w:szCs w:val="21"/>
              </w:rPr>
            </w:pPr>
            <w:r>
              <w:rPr>
                <w:rFonts w:hint="eastAsia" w:ascii="宋体" w:hAnsi="宋体" w:cs="宋体"/>
                <w:b/>
                <w:kern w:val="2"/>
                <w:szCs w:val="21"/>
              </w:rPr>
              <w:t>属性</w:t>
            </w:r>
          </w:p>
        </w:tc>
      </w:tr>
      <w:tr w14:paraId="797C3F62">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A65AD9">
            <w:pPr>
              <w:jc w:val="center"/>
              <w:textAlignment w:val="center"/>
              <w:rPr>
                <w:rFonts w:ascii="宋体" w:hAnsi="宋体" w:cs="宋体"/>
                <w:kern w:val="2"/>
                <w:szCs w:val="21"/>
              </w:rPr>
            </w:pPr>
            <w:r>
              <w:rPr>
                <w:rFonts w:hint="eastAsia" w:ascii="宋体" w:hAnsi="宋体" w:cs="宋体"/>
                <w:kern w:val="2"/>
                <w:szCs w:val="21"/>
              </w:rPr>
              <w:t>1</w:t>
            </w:r>
          </w:p>
        </w:tc>
        <w:tc>
          <w:tcPr>
            <w:tcW w:w="70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6998A0">
            <w:pPr>
              <w:jc w:val="center"/>
              <w:textAlignment w:val="center"/>
              <w:rPr>
                <w:rFonts w:ascii="宋体" w:hAnsi="宋体" w:cs="宋体"/>
                <w:kern w:val="2"/>
                <w:szCs w:val="21"/>
              </w:rPr>
            </w:pPr>
            <w:r>
              <w:rPr>
                <w:rFonts w:hint="eastAsia" w:ascii="宋体" w:hAnsi="宋体" w:cs="宋体"/>
                <w:kern w:val="2"/>
                <w:szCs w:val="21"/>
              </w:rPr>
              <w:t>经济</w:t>
            </w:r>
          </w:p>
          <w:p w14:paraId="18B876CE">
            <w:pPr>
              <w:jc w:val="center"/>
              <w:textAlignment w:val="center"/>
              <w:rPr>
                <w:rFonts w:ascii="宋体" w:hAnsi="宋体" w:cs="宋体"/>
                <w:kern w:val="2"/>
                <w:szCs w:val="21"/>
              </w:rPr>
            </w:pPr>
            <w:r>
              <w:rPr>
                <w:rFonts w:hint="eastAsia" w:ascii="宋体" w:hAnsi="宋体" w:cs="宋体"/>
                <w:kern w:val="2"/>
                <w:szCs w:val="21"/>
              </w:rPr>
              <w:t>发展</w:t>
            </w: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CB8A67">
            <w:pPr>
              <w:jc w:val="center"/>
              <w:textAlignment w:val="center"/>
              <w:rPr>
                <w:rFonts w:ascii="宋体" w:hAnsi="宋体" w:cs="宋体"/>
                <w:kern w:val="2"/>
                <w:szCs w:val="21"/>
              </w:rPr>
            </w:pPr>
            <w:r>
              <w:rPr>
                <w:rFonts w:hint="eastAsia" w:ascii="宋体" w:hAnsi="宋体" w:cs="宋体"/>
                <w:kern w:val="2"/>
                <w:szCs w:val="21"/>
              </w:rPr>
              <w:t>地区生产总值（亿元）</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592562">
            <w:pPr>
              <w:jc w:val="center"/>
              <w:rPr>
                <w:rFonts w:ascii="宋体" w:hAnsi="宋体" w:cs="宋体"/>
                <w:kern w:val="2"/>
                <w:szCs w:val="21"/>
              </w:rPr>
            </w:pPr>
            <w:r>
              <w:rPr>
                <w:rFonts w:hint="eastAsia" w:ascii="宋体" w:hAnsi="宋体" w:cs="宋体"/>
                <w:kern w:val="2"/>
                <w:szCs w:val="21"/>
              </w:rPr>
              <w:t>91.61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9F12F1">
            <w:pPr>
              <w:jc w:val="center"/>
              <w:rPr>
                <w:rFonts w:ascii="宋体" w:hAnsi="宋体" w:cs="宋体"/>
                <w:kern w:val="2"/>
                <w:szCs w:val="21"/>
              </w:rPr>
            </w:pPr>
            <w:r>
              <w:rPr>
                <w:rFonts w:hint="eastAsia" w:ascii="宋体" w:hAnsi="宋体" w:cs="宋体"/>
                <w:kern w:val="2"/>
                <w:szCs w:val="21"/>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93DBF9">
            <w:pPr>
              <w:jc w:val="center"/>
              <w:textAlignment w:val="center"/>
              <w:rPr>
                <w:rFonts w:ascii="宋体" w:hAnsi="宋体" w:cs="宋体"/>
                <w:kern w:val="2"/>
                <w:szCs w:val="21"/>
              </w:rPr>
            </w:pPr>
            <w:r>
              <w:rPr>
                <w:rFonts w:hint="eastAsia" w:ascii="宋体" w:hAnsi="宋体" w:cs="宋体"/>
                <w:kern w:val="2"/>
                <w:szCs w:val="21"/>
              </w:rPr>
              <w:t>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B64C67">
            <w:pPr>
              <w:jc w:val="center"/>
              <w:textAlignment w:val="center"/>
              <w:rPr>
                <w:rFonts w:ascii="宋体" w:hAnsi="宋体" w:cs="宋体"/>
                <w:kern w:val="2"/>
                <w:szCs w:val="21"/>
              </w:rPr>
            </w:pPr>
            <w:r>
              <w:rPr>
                <w:rFonts w:hint="eastAsia" w:ascii="宋体" w:hAnsi="宋体" w:cs="宋体"/>
                <w:kern w:val="2"/>
                <w:szCs w:val="21"/>
              </w:rPr>
              <w:t>预期性</w:t>
            </w:r>
          </w:p>
        </w:tc>
      </w:tr>
      <w:tr w14:paraId="557F3CAC">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A10AB1">
            <w:pPr>
              <w:jc w:val="center"/>
              <w:textAlignment w:val="center"/>
              <w:rPr>
                <w:rFonts w:ascii="宋体" w:hAnsi="宋体" w:cs="宋体"/>
                <w:kern w:val="2"/>
                <w:szCs w:val="21"/>
              </w:rPr>
            </w:pPr>
            <w:r>
              <w:rPr>
                <w:rFonts w:hint="eastAsia" w:ascii="宋体" w:hAnsi="宋体" w:cs="宋体"/>
                <w:kern w:val="2"/>
                <w:szCs w:val="21"/>
              </w:rPr>
              <w:t>2</w:t>
            </w:r>
          </w:p>
        </w:tc>
        <w:tc>
          <w:tcPr>
            <w:tcW w:w="708"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DC19B4">
            <w:pPr>
              <w:adjustRightInd/>
              <w:snapToGrid/>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9CDF99">
            <w:pPr>
              <w:jc w:val="center"/>
              <w:textAlignment w:val="center"/>
              <w:rPr>
                <w:rFonts w:ascii="宋体" w:hAnsi="宋体" w:cs="宋体"/>
                <w:kern w:val="2"/>
                <w:szCs w:val="21"/>
              </w:rPr>
            </w:pPr>
            <w:r>
              <w:rPr>
                <w:rFonts w:hint="eastAsia" w:ascii="宋体" w:hAnsi="宋体" w:cs="宋体"/>
                <w:kern w:val="2"/>
                <w:szCs w:val="21"/>
              </w:rPr>
              <w:t>全员劳动生产率（元/人.年）</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D399A">
            <w:pPr>
              <w:jc w:val="center"/>
              <w:rPr>
                <w:rFonts w:ascii="宋体" w:hAnsi="宋体" w:cs="宋体"/>
                <w:kern w:val="2"/>
                <w:szCs w:val="21"/>
              </w:rPr>
            </w:pPr>
            <w:r>
              <w:rPr>
                <w:rFonts w:hint="eastAsia" w:ascii="宋体" w:hAnsi="宋体" w:cs="宋体"/>
                <w:kern w:val="2"/>
                <w:szCs w:val="21"/>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BFF518">
            <w:pPr>
              <w:jc w:val="center"/>
              <w:rPr>
                <w:rFonts w:ascii="宋体" w:hAnsi="宋体" w:cs="宋体"/>
                <w:kern w:val="2"/>
                <w:szCs w:val="21"/>
              </w:rPr>
            </w:pPr>
            <w:r>
              <w:rPr>
                <w:rFonts w:hint="eastAsia" w:ascii="宋体" w:hAnsi="宋体" w:cs="宋体"/>
                <w:kern w:val="2"/>
                <w:szCs w:val="21"/>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4ECB07">
            <w:pPr>
              <w:jc w:val="center"/>
              <w:rPr>
                <w:rFonts w:ascii="宋体" w:hAnsi="宋体" w:cs="宋体"/>
                <w:kern w:val="2"/>
                <w:szCs w:val="21"/>
              </w:rPr>
            </w:pPr>
            <w:r>
              <w:rPr>
                <w:rFonts w:hint="eastAsia" w:ascii="宋体" w:hAnsi="宋体" w:cs="宋体"/>
                <w:kern w:val="2"/>
                <w:szCs w:val="21"/>
              </w:rPr>
              <w:t>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F5913">
            <w:pPr>
              <w:jc w:val="center"/>
              <w:textAlignment w:val="center"/>
              <w:rPr>
                <w:rFonts w:ascii="宋体" w:hAnsi="宋体" w:cs="宋体"/>
                <w:kern w:val="2"/>
                <w:szCs w:val="21"/>
              </w:rPr>
            </w:pPr>
            <w:r>
              <w:rPr>
                <w:rFonts w:hint="eastAsia" w:ascii="宋体" w:hAnsi="宋体" w:cs="宋体"/>
                <w:kern w:val="2"/>
                <w:szCs w:val="21"/>
              </w:rPr>
              <w:t>预期性</w:t>
            </w:r>
          </w:p>
        </w:tc>
      </w:tr>
      <w:tr w14:paraId="0BDED342">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A31EC4">
            <w:pPr>
              <w:jc w:val="center"/>
              <w:textAlignment w:val="center"/>
              <w:rPr>
                <w:rFonts w:ascii="宋体" w:hAnsi="宋体" w:cs="宋体"/>
                <w:kern w:val="2"/>
                <w:szCs w:val="21"/>
              </w:rPr>
            </w:pPr>
            <w:r>
              <w:rPr>
                <w:rFonts w:hint="eastAsia" w:ascii="宋体" w:hAnsi="宋体" w:cs="宋体"/>
                <w:kern w:val="2"/>
                <w:szCs w:val="21"/>
              </w:rPr>
              <w:t>3</w:t>
            </w:r>
          </w:p>
        </w:tc>
        <w:tc>
          <w:tcPr>
            <w:tcW w:w="708"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387D8">
            <w:pPr>
              <w:adjustRightInd/>
              <w:snapToGrid/>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6F0309">
            <w:pPr>
              <w:jc w:val="center"/>
              <w:textAlignment w:val="center"/>
              <w:rPr>
                <w:rFonts w:ascii="宋体" w:hAnsi="宋体" w:cs="宋体"/>
                <w:kern w:val="2"/>
                <w:szCs w:val="21"/>
              </w:rPr>
            </w:pPr>
            <w:r>
              <w:rPr>
                <w:rFonts w:hint="eastAsia" w:ascii="宋体" w:hAnsi="宋体" w:cs="宋体"/>
                <w:kern w:val="2"/>
                <w:szCs w:val="21"/>
              </w:rPr>
              <w:t>常住人口城镇化率（%）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3D26C8">
            <w:pPr>
              <w:jc w:val="center"/>
              <w:rPr>
                <w:rFonts w:ascii="宋体" w:hAnsi="宋体" w:cs="宋体"/>
                <w:kern w:val="2"/>
                <w:szCs w:val="21"/>
              </w:rPr>
            </w:pPr>
            <w:r>
              <w:rPr>
                <w:rFonts w:hint="eastAsia" w:ascii="宋体" w:hAnsi="宋体" w:cs="宋体"/>
                <w:kern w:val="2"/>
                <w:szCs w:val="21"/>
              </w:rPr>
              <w:t>49.33</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EFD630">
            <w:pPr>
              <w:jc w:val="center"/>
              <w:rPr>
                <w:rFonts w:ascii="宋体" w:hAnsi="宋体" w:cs="宋体"/>
                <w:kern w:val="2"/>
                <w:szCs w:val="21"/>
              </w:rPr>
            </w:pPr>
            <w:r>
              <w:rPr>
                <w:rFonts w:hint="eastAsia" w:ascii="宋体" w:hAnsi="宋体" w:cs="宋体"/>
                <w:kern w:val="2"/>
                <w:szCs w:val="21"/>
              </w:rPr>
              <w:t>55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7C71DA">
            <w:pPr>
              <w:jc w:val="center"/>
              <w:rPr>
                <w:rFonts w:ascii="宋体" w:hAnsi="宋体" w:cs="宋体"/>
                <w:kern w:val="2"/>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8543C6">
            <w:pPr>
              <w:jc w:val="center"/>
              <w:textAlignment w:val="center"/>
              <w:rPr>
                <w:rFonts w:ascii="宋体" w:hAnsi="宋体" w:cs="宋体"/>
                <w:kern w:val="2"/>
                <w:szCs w:val="21"/>
              </w:rPr>
            </w:pPr>
            <w:r>
              <w:rPr>
                <w:rFonts w:hint="eastAsia" w:ascii="宋体" w:hAnsi="宋体" w:cs="宋体"/>
                <w:kern w:val="2"/>
                <w:szCs w:val="21"/>
              </w:rPr>
              <w:t>预期性</w:t>
            </w:r>
          </w:p>
        </w:tc>
      </w:tr>
      <w:tr w14:paraId="7F50BC66">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F1FCF2">
            <w:pPr>
              <w:jc w:val="center"/>
              <w:textAlignment w:val="center"/>
              <w:rPr>
                <w:rFonts w:ascii="宋体" w:hAnsi="宋体" w:cs="宋体"/>
                <w:kern w:val="2"/>
                <w:szCs w:val="21"/>
              </w:rPr>
            </w:pPr>
            <w:r>
              <w:rPr>
                <w:rFonts w:hint="eastAsia" w:ascii="宋体" w:hAnsi="宋体" w:cs="宋体"/>
                <w:kern w:val="2"/>
                <w:szCs w:val="21"/>
              </w:rPr>
              <w:t>4</w:t>
            </w:r>
          </w:p>
        </w:tc>
        <w:tc>
          <w:tcPr>
            <w:tcW w:w="70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A3597F">
            <w:pPr>
              <w:jc w:val="center"/>
              <w:textAlignment w:val="center"/>
              <w:rPr>
                <w:rFonts w:ascii="宋体" w:hAnsi="宋体" w:cs="宋体"/>
                <w:kern w:val="2"/>
                <w:szCs w:val="21"/>
              </w:rPr>
            </w:pPr>
            <w:r>
              <w:rPr>
                <w:rFonts w:hint="eastAsia" w:ascii="宋体" w:hAnsi="宋体" w:cs="宋体"/>
                <w:kern w:val="2"/>
                <w:szCs w:val="21"/>
              </w:rPr>
              <w:t>创新</w:t>
            </w:r>
          </w:p>
          <w:p w14:paraId="614490C7">
            <w:pPr>
              <w:jc w:val="center"/>
              <w:textAlignment w:val="center"/>
              <w:rPr>
                <w:rFonts w:ascii="宋体" w:hAnsi="宋体" w:cs="宋体"/>
                <w:kern w:val="2"/>
                <w:szCs w:val="21"/>
              </w:rPr>
            </w:pPr>
            <w:r>
              <w:rPr>
                <w:rFonts w:hint="eastAsia" w:ascii="宋体" w:hAnsi="宋体" w:cs="宋体"/>
                <w:kern w:val="2"/>
                <w:szCs w:val="21"/>
              </w:rPr>
              <w:t>驱动</w:t>
            </w: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FF7DF1">
            <w:pPr>
              <w:jc w:val="center"/>
              <w:textAlignment w:val="center"/>
              <w:rPr>
                <w:rFonts w:ascii="宋体" w:hAnsi="宋体" w:cs="宋体"/>
                <w:kern w:val="2"/>
                <w:szCs w:val="21"/>
              </w:rPr>
            </w:pPr>
            <w:r>
              <w:rPr>
                <w:rFonts w:hint="eastAsia" w:ascii="宋体" w:hAnsi="宋体" w:cs="宋体"/>
                <w:kern w:val="2"/>
                <w:szCs w:val="21"/>
              </w:rPr>
              <w:t>研发经费投入增长（%）</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95079C">
            <w:pPr>
              <w:jc w:val="center"/>
              <w:rPr>
                <w:rFonts w:ascii="宋体" w:hAnsi="宋体" w:cs="宋体"/>
                <w:kern w:val="2"/>
                <w:szCs w:val="21"/>
              </w:rPr>
            </w:pPr>
            <w:r>
              <w:rPr>
                <w:rFonts w:hint="eastAsia" w:ascii="宋体" w:hAnsi="宋体" w:cs="宋体"/>
                <w:kern w:val="2"/>
                <w:szCs w:val="21"/>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7F76B6">
            <w:pPr>
              <w:jc w:val="center"/>
              <w:rPr>
                <w:rFonts w:ascii="宋体" w:hAnsi="宋体" w:cs="宋体"/>
                <w:kern w:val="2"/>
                <w:szCs w:val="21"/>
              </w:rPr>
            </w:pPr>
            <w:r>
              <w:rPr>
                <w:rFonts w:hint="eastAsia" w:ascii="宋体" w:hAnsi="宋体" w:cs="宋体"/>
                <w:kern w:val="2"/>
                <w:szCs w:val="21"/>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7328FD">
            <w:pPr>
              <w:jc w:val="center"/>
              <w:rPr>
                <w:rFonts w:ascii="宋体" w:hAnsi="宋体" w:cs="宋体"/>
                <w:kern w:val="2"/>
                <w:szCs w:val="21"/>
              </w:rPr>
            </w:pPr>
            <w:r>
              <w:rPr>
                <w:rFonts w:hint="eastAsia" w:ascii="宋体" w:hAnsi="宋体" w:cs="宋体"/>
                <w:kern w:val="2"/>
                <w:szCs w:val="21"/>
              </w:rPr>
              <w:t>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656A8F">
            <w:pPr>
              <w:jc w:val="center"/>
              <w:textAlignment w:val="center"/>
              <w:rPr>
                <w:rFonts w:ascii="宋体" w:hAnsi="宋体" w:cs="宋体"/>
                <w:kern w:val="2"/>
                <w:szCs w:val="21"/>
              </w:rPr>
            </w:pPr>
            <w:r>
              <w:rPr>
                <w:rFonts w:hint="eastAsia" w:ascii="宋体" w:hAnsi="宋体" w:cs="宋体"/>
                <w:kern w:val="2"/>
                <w:szCs w:val="21"/>
              </w:rPr>
              <w:t>预期性</w:t>
            </w:r>
          </w:p>
        </w:tc>
      </w:tr>
      <w:tr w14:paraId="37D638E1">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B82A6">
            <w:pPr>
              <w:jc w:val="center"/>
              <w:textAlignment w:val="center"/>
              <w:rPr>
                <w:rFonts w:ascii="宋体" w:hAnsi="宋体" w:cs="宋体"/>
                <w:kern w:val="2"/>
                <w:szCs w:val="21"/>
              </w:rPr>
            </w:pPr>
            <w:r>
              <w:rPr>
                <w:rFonts w:hint="eastAsia" w:ascii="宋体" w:hAnsi="宋体" w:cs="宋体"/>
                <w:kern w:val="2"/>
                <w:szCs w:val="21"/>
              </w:rPr>
              <w:t>5</w:t>
            </w:r>
          </w:p>
        </w:tc>
        <w:tc>
          <w:tcPr>
            <w:tcW w:w="708" w:type="dxa"/>
            <w:vMerge w:val="continue"/>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113B3E4">
            <w:pPr>
              <w:adjustRightInd/>
              <w:snapToGrid/>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DFD5359">
            <w:pPr>
              <w:jc w:val="center"/>
              <w:textAlignment w:val="bottom"/>
              <w:rPr>
                <w:rFonts w:ascii="宋体" w:hAnsi="宋体" w:cs="宋体"/>
                <w:kern w:val="2"/>
                <w:szCs w:val="21"/>
              </w:rPr>
            </w:pPr>
            <w:r>
              <w:rPr>
                <w:rFonts w:hint="eastAsia" w:ascii="宋体" w:hAnsi="宋体" w:cs="宋体"/>
                <w:kern w:val="2"/>
                <w:szCs w:val="21"/>
              </w:rPr>
              <w:t>每万人拥有发明专利数（件）</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C69A6F1">
            <w:pPr>
              <w:jc w:val="center"/>
              <w:rPr>
                <w:rFonts w:ascii="宋体" w:hAnsi="宋体" w:cs="宋体"/>
                <w:kern w:val="2"/>
                <w:szCs w:val="21"/>
              </w:rPr>
            </w:pPr>
            <w:r>
              <w:rPr>
                <w:rFonts w:hint="eastAsia" w:ascii="宋体" w:hAnsi="宋体" w:cs="宋体"/>
                <w:kern w:val="2"/>
                <w:szCs w:val="21"/>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8378773">
            <w:pPr>
              <w:jc w:val="center"/>
              <w:rPr>
                <w:rFonts w:ascii="宋体" w:hAnsi="宋体" w:cs="宋体"/>
                <w:kern w:val="2"/>
                <w:szCs w:val="21"/>
              </w:rPr>
            </w:pPr>
            <w:r>
              <w:rPr>
                <w:rFonts w:hint="eastAsia" w:ascii="宋体" w:hAnsi="宋体" w:cs="宋体"/>
                <w:kern w:val="2"/>
                <w:szCs w:val="21"/>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4F36B77">
            <w:pPr>
              <w:jc w:val="center"/>
              <w:rPr>
                <w:rFonts w:ascii="宋体" w:hAnsi="宋体" w:cs="宋体"/>
                <w:kern w:val="2"/>
                <w:szCs w:val="21"/>
              </w:rPr>
            </w:pPr>
            <w:r>
              <w:rPr>
                <w:rFonts w:hint="eastAsia" w:ascii="宋体" w:hAnsi="宋体" w:cs="宋体"/>
                <w:kern w:val="2"/>
                <w:szCs w:val="21"/>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E4FC333">
            <w:pPr>
              <w:jc w:val="center"/>
              <w:textAlignment w:val="bottom"/>
              <w:rPr>
                <w:rFonts w:ascii="宋体" w:hAnsi="宋体" w:cs="宋体"/>
                <w:kern w:val="2"/>
                <w:szCs w:val="21"/>
              </w:rPr>
            </w:pPr>
            <w:r>
              <w:rPr>
                <w:rFonts w:hint="eastAsia" w:ascii="宋体" w:hAnsi="宋体" w:cs="宋体"/>
                <w:kern w:val="2"/>
                <w:szCs w:val="21"/>
              </w:rPr>
              <w:t>预期性</w:t>
            </w:r>
          </w:p>
        </w:tc>
      </w:tr>
      <w:tr w14:paraId="44E734F9">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618923">
            <w:pPr>
              <w:jc w:val="center"/>
              <w:textAlignment w:val="center"/>
              <w:rPr>
                <w:rFonts w:ascii="宋体" w:hAnsi="宋体" w:cs="宋体"/>
                <w:kern w:val="2"/>
                <w:szCs w:val="21"/>
              </w:rPr>
            </w:pPr>
            <w:r>
              <w:rPr>
                <w:rFonts w:hint="eastAsia" w:ascii="宋体" w:hAnsi="宋体" w:cs="宋体"/>
                <w:kern w:val="2"/>
                <w:szCs w:val="21"/>
              </w:rPr>
              <w:t>6</w:t>
            </w:r>
          </w:p>
        </w:tc>
        <w:tc>
          <w:tcPr>
            <w:tcW w:w="708" w:type="dxa"/>
            <w:vMerge w:val="restart"/>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4E4A82E7">
            <w:pPr>
              <w:jc w:val="center"/>
              <w:textAlignment w:val="center"/>
              <w:rPr>
                <w:rFonts w:ascii="宋体" w:hAnsi="宋体" w:cs="宋体"/>
                <w:kern w:val="2"/>
                <w:szCs w:val="21"/>
              </w:rPr>
            </w:pPr>
            <w:r>
              <w:rPr>
                <w:rFonts w:hint="eastAsia" w:ascii="宋体" w:hAnsi="宋体" w:cs="宋体"/>
                <w:kern w:val="2"/>
                <w:szCs w:val="21"/>
              </w:rPr>
              <w:t>民生</w:t>
            </w:r>
          </w:p>
          <w:p w14:paraId="7C469243">
            <w:pPr>
              <w:jc w:val="center"/>
              <w:textAlignment w:val="center"/>
              <w:rPr>
                <w:rFonts w:ascii="宋体" w:hAnsi="宋体" w:cs="宋体"/>
                <w:kern w:val="2"/>
                <w:szCs w:val="21"/>
              </w:rPr>
            </w:pPr>
            <w:r>
              <w:rPr>
                <w:rFonts w:hint="eastAsia" w:ascii="宋体" w:hAnsi="宋体" w:cs="宋体"/>
                <w:kern w:val="2"/>
                <w:szCs w:val="21"/>
              </w:rPr>
              <w:t>福祉</w:t>
            </w: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F55C8">
            <w:pPr>
              <w:jc w:val="center"/>
              <w:textAlignment w:val="center"/>
              <w:rPr>
                <w:rFonts w:ascii="宋体" w:hAnsi="宋体" w:cs="宋体"/>
                <w:kern w:val="2"/>
                <w:szCs w:val="21"/>
              </w:rPr>
            </w:pPr>
            <w:r>
              <w:rPr>
                <w:rFonts w:hint="eastAsia" w:ascii="宋体" w:hAnsi="宋体" w:cs="宋体"/>
                <w:kern w:val="2"/>
                <w:szCs w:val="21"/>
              </w:rPr>
              <w:t>居民人均可支配收入增长（%）</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222C5">
            <w:pPr>
              <w:jc w:val="center"/>
              <w:rPr>
                <w:rFonts w:ascii="宋体" w:hAnsi="宋体" w:cs="宋体"/>
                <w:kern w:val="2"/>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C8D77B">
            <w:pPr>
              <w:jc w:val="center"/>
              <w:rPr>
                <w:rFonts w:ascii="宋体" w:hAnsi="宋体" w:cs="宋体"/>
                <w:kern w:val="2"/>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1EEF79">
            <w:pPr>
              <w:jc w:val="center"/>
              <w:rPr>
                <w:rFonts w:ascii="宋体" w:hAnsi="宋体" w:cs="宋体"/>
                <w:kern w:val="2"/>
                <w:szCs w:val="21"/>
              </w:rPr>
            </w:pPr>
            <w:r>
              <w:rPr>
                <w:rFonts w:hint="eastAsia" w:ascii="宋体" w:hAnsi="宋体" w:cs="宋体"/>
                <w:kern w:val="2"/>
                <w:szCs w:val="21"/>
              </w:rPr>
              <w:t>＞7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1E82F9">
            <w:pPr>
              <w:jc w:val="center"/>
              <w:textAlignment w:val="center"/>
              <w:rPr>
                <w:rFonts w:ascii="宋体" w:hAnsi="宋体" w:cs="宋体"/>
                <w:kern w:val="2"/>
                <w:szCs w:val="21"/>
              </w:rPr>
            </w:pPr>
            <w:r>
              <w:rPr>
                <w:rFonts w:hint="eastAsia" w:ascii="宋体" w:hAnsi="宋体" w:cs="宋体"/>
                <w:kern w:val="2"/>
                <w:szCs w:val="21"/>
              </w:rPr>
              <w:t>预期性</w:t>
            </w:r>
          </w:p>
        </w:tc>
      </w:tr>
      <w:tr w14:paraId="19E9EAD1">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381954">
            <w:pPr>
              <w:jc w:val="center"/>
              <w:textAlignment w:val="center"/>
              <w:rPr>
                <w:rFonts w:ascii="宋体" w:hAnsi="宋体" w:cs="宋体"/>
                <w:kern w:val="2"/>
                <w:szCs w:val="21"/>
              </w:rPr>
            </w:pPr>
            <w:r>
              <w:rPr>
                <w:rFonts w:hint="eastAsia" w:ascii="宋体" w:hAnsi="宋体" w:cs="宋体"/>
                <w:kern w:val="2"/>
                <w:szCs w:val="21"/>
              </w:rPr>
              <w:t>7</w:t>
            </w:r>
          </w:p>
        </w:tc>
        <w:tc>
          <w:tcPr>
            <w:tcW w:w="708" w:type="dxa"/>
            <w:vMerge w:val="continue"/>
            <w:tcBorders>
              <w:left w:val="single" w:color="000000" w:sz="4" w:space="0"/>
              <w:right w:val="single" w:color="000000" w:sz="4" w:space="0"/>
            </w:tcBorders>
            <w:tcMar>
              <w:top w:w="15" w:type="dxa"/>
              <w:left w:w="15" w:type="dxa"/>
              <w:bottom w:w="0" w:type="dxa"/>
              <w:right w:w="15" w:type="dxa"/>
            </w:tcMar>
            <w:vAlign w:val="center"/>
          </w:tcPr>
          <w:p w14:paraId="0E758D05">
            <w:pPr>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AB7623">
            <w:pPr>
              <w:jc w:val="center"/>
              <w:textAlignment w:val="center"/>
              <w:rPr>
                <w:rFonts w:ascii="宋体" w:hAnsi="宋体" w:cs="宋体"/>
                <w:kern w:val="2"/>
                <w:szCs w:val="21"/>
              </w:rPr>
            </w:pPr>
            <w:r>
              <w:rPr>
                <w:rFonts w:hint="eastAsia" w:ascii="宋体" w:hAnsi="宋体" w:cs="宋体"/>
                <w:kern w:val="2"/>
                <w:szCs w:val="21"/>
              </w:rPr>
              <w:t>城镇登记失业率（%）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10D976">
            <w:pPr>
              <w:jc w:val="center"/>
              <w:rPr>
                <w:rFonts w:ascii="宋体" w:hAnsi="宋体" w:cs="宋体"/>
                <w:kern w:val="2"/>
                <w:szCs w:val="21"/>
              </w:rPr>
            </w:pPr>
            <w:r>
              <w:rPr>
                <w:rFonts w:hint="eastAsia" w:ascii="宋体" w:hAnsi="宋体" w:cs="宋体"/>
                <w:kern w:val="2"/>
                <w:szCs w:val="21"/>
              </w:rPr>
              <w:t>3.8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FD66DE">
            <w:pPr>
              <w:jc w:val="center"/>
              <w:rPr>
                <w:rFonts w:ascii="宋体" w:hAnsi="宋体" w:cs="宋体"/>
                <w:kern w:val="2"/>
                <w:szCs w:val="21"/>
              </w:rPr>
            </w:pPr>
            <w:r>
              <w:rPr>
                <w:rFonts w:hint="eastAsia" w:ascii="宋体" w:hAnsi="宋体" w:cs="宋体"/>
                <w:kern w:val="2"/>
                <w:szCs w:val="21"/>
              </w:rPr>
              <w:t>3.9</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529AB1">
            <w:pPr>
              <w:jc w:val="center"/>
              <w:rPr>
                <w:rFonts w:ascii="宋体" w:hAnsi="宋体" w:cs="宋体"/>
                <w:kern w:val="2"/>
                <w:szCs w:val="21"/>
              </w:rPr>
            </w:pPr>
            <w:r>
              <w:rPr>
                <w:rFonts w:hint="eastAsia" w:ascii="宋体" w:hAnsi="宋体" w:cs="宋体"/>
                <w:kern w:val="2"/>
                <w:szCs w:val="21"/>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00A8CA">
            <w:pPr>
              <w:jc w:val="center"/>
              <w:textAlignment w:val="center"/>
              <w:rPr>
                <w:rFonts w:ascii="宋体" w:hAnsi="宋体" w:cs="宋体"/>
                <w:kern w:val="2"/>
                <w:szCs w:val="21"/>
              </w:rPr>
            </w:pPr>
            <w:r>
              <w:rPr>
                <w:rFonts w:hint="eastAsia" w:ascii="宋体" w:hAnsi="宋体" w:cs="宋体"/>
                <w:kern w:val="2"/>
                <w:szCs w:val="21"/>
              </w:rPr>
              <w:t>预期性</w:t>
            </w:r>
          </w:p>
        </w:tc>
      </w:tr>
      <w:tr w14:paraId="65EABEF0">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87ED78">
            <w:pPr>
              <w:jc w:val="center"/>
              <w:textAlignment w:val="center"/>
              <w:rPr>
                <w:rFonts w:ascii="宋体" w:hAnsi="宋体" w:cs="宋体"/>
                <w:kern w:val="2"/>
                <w:szCs w:val="21"/>
              </w:rPr>
            </w:pPr>
            <w:r>
              <w:rPr>
                <w:rFonts w:hint="eastAsia" w:ascii="宋体" w:hAnsi="宋体" w:cs="宋体"/>
                <w:kern w:val="2"/>
                <w:szCs w:val="21"/>
              </w:rPr>
              <w:t>8</w:t>
            </w:r>
          </w:p>
        </w:tc>
        <w:tc>
          <w:tcPr>
            <w:tcW w:w="708" w:type="dxa"/>
            <w:vMerge w:val="continue"/>
            <w:tcBorders>
              <w:left w:val="single" w:color="000000" w:sz="4" w:space="0"/>
              <w:right w:val="single" w:color="000000" w:sz="4" w:space="0"/>
            </w:tcBorders>
            <w:tcMar>
              <w:top w:w="15" w:type="dxa"/>
              <w:left w:w="15" w:type="dxa"/>
              <w:bottom w:w="0" w:type="dxa"/>
              <w:right w:w="15" w:type="dxa"/>
            </w:tcMar>
            <w:vAlign w:val="center"/>
          </w:tcPr>
          <w:p w14:paraId="385027E8">
            <w:pPr>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CFD59A">
            <w:pPr>
              <w:jc w:val="center"/>
              <w:textAlignment w:val="center"/>
              <w:rPr>
                <w:rFonts w:ascii="宋体" w:hAnsi="宋体" w:cs="宋体"/>
                <w:kern w:val="2"/>
                <w:szCs w:val="21"/>
              </w:rPr>
            </w:pPr>
            <w:r>
              <w:rPr>
                <w:rFonts w:hint="eastAsia" w:ascii="宋体" w:hAnsi="宋体" w:cs="宋体"/>
                <w:kern w:val="2"/>
                <w:szCs w:val="21"/>
              </w:rPr>
              <w:t>人均预期寿命（岁）</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267942">
            <w:pPr>
              <w:jc w:val="center"/>
              <w:rPr>
                <w:rFonts w:ascii="宋体" w:hAnsi="宋体" w:cs="宋体"/>
                <w:kern w:val="2"/>
                <w:szCs w:val="21"/>
              </w:rPr>
            </w:pPr>
            <w:r>
              <w:rPr>
                <w:rFonts w:hint="eastAsia" w:ascii="宋体" w:hAnsi="宋体" w:cs="宋体"/>
                <w:kern w:val="2"/>
                <w:szCs w:val="21"/>
              </w:rPr>
              <w:t>72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85567">
            <w:pPr>
              <w:jc w:val="center"/>
              <w:rPr>
                <w:rFonts w:ascii="宋体" w:hAnsi="宋体" w:cs="宋体"/>
                <w:kern w:val="2"/>
                <w:szCs w:val="21"/>
              </w:rPr>
            </w:pPr>
            <w:r>
              <w:rPr>
                <w:rFonts w:hint="eastAsia" w:ascii="宋体" w:hAnsi="宋体" w:cs="宋体"/>
                <w:kern w:val="2"/>
                <w:szCs w:val="21"/>
              </w:rPr>
              <w:t>75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10B96C">
            <w:pPr>
              <w:jc w:val="center"/>
              <w:rPr>
                <w:rFonts w:ascii="宋体" w:hAnsi="宋体" w:cs="宋体"/>
                <w:kern w:val="2"/>
                <w:szCs w:val="21"/>
              </w:rPr>
            </w:pPr>
            <w:r>
              <w:rPr>
                <w:rFonts w:hint="eastAsia" w:ascii="宋体" w:hAnsi="宋体" w:cs="宋体"/>
                <w:kern w:val="2"/>
                <w:szCs w:val="21"/>
              </w:rPr>
              <w:t>[0.7]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36C3AB">
            <w:pPr>
              <w:jc w:val="center"/>
              <w:textAlignment w:val="center"/>
              <w:rPr>
                <w:rFonts w:ascii="宋体" w:hAnsi="宋体" w:cs="宋体"/>
                <w:kern w:val="2"/>
                <w:szCs w:val="21"/>
              </w:rPr>
            </w:pPr>
            <w:r>
              <w:rPr>
                <w:rFonts w:hint="eastAsia" w:ascii="宋体" w:hAnsi="宋体" w:cs="宋体"/>
                <w:kern w:val="2"/>
                <w:szCs w:val="21"/>
              </w:rPr>
              <w:t>预期性</w:t>
            </w:r>
          </w:p>
        </w:tc>
      </w:tr>
      <w:tr w14:paraId="09AEC0C2">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CC5009">
            <w:pPr>
              <w:jc w:val="center"/>
              <w:textAlignment w:val="center"/>
              <w:rPr>
                <w:rFonts w:ascii="宋体" w:hAnsi="宋体" w:cs="宋体"/>
                <w:kern w:val="2"/>
                <w:szCs w:val="21"/>
              </w:rPr>
            </w:pPr>
            <w:r>
              <w:rPr>
                <w:rFonts w:hint="eastAsia" w:ascii="宋体" w:hAnsi="宋体" w:cs="宋体"/>
                <w:kern w:val="2"/>
                <w:szCs w:val="21"/>
              </w:rPr>
              <w:t>9</w:t>
            </w:r>
          </w:p>
        </w:tc>
        <w:tc>
          <w:tcPr>
            <w:tcW w:w="708" w:type="dxa"/>
            <w:vMerge w:val="continue"/>
            <w:tcBorders>
              <w:left w:val="single" w:color="000000" w:sz="4" w:space="0"/>
              <w:right w:val="single" w:color="000000" w:sz="4" w:space="0"/>
            </w:tcBorders>
            <w:tcMar>
              <w:top w:w="15" w:type="dxa"/>
              <w:left w:w="15" w:type="dxa"/>
              <w:bottom w:w="0" w:type="dxa"/>
              <w:right w:w="15" w:type="dxa"/>
            </w:tcMar>
            <w:vAlign w:val="center"/>
          </w:tcPr>
          <w:p w14:paraId="1AF91891">
            <w:pPr>
              <w:adjustRightInd/>
              <w:snapToGrid/>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FCD5CA">
            <w:pPr>
              <w:jc w:val="center"/>
              <w:textAlignment w:val="center"/>
              <w:rPr>
                <w:rFonts w:ascii="宋体" w:hAnsi="宋体" w:cs="宋体"/>
                <w:kern w:val="2"/>
                <w:szCs w:val="21"/>
              </w:rPr>
            </w:pPr>
            <w:r>
              <w:rPr>
                <w:rFonts w:hint="eastAsia" w:ascii="宋体" w:hAnsi="宋体" w:cs="宋体"/>
                <w:kern w:val="2"/>
                <w:szCs w:val="21"/>
              </w:rPr>
              <w:t>每千人口拥有执业（助理）医师人数（位）</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BB764D">
            <w:pPr>
              <w:jc w:val="center"/>
              <w:rPr>
                <w:rFonts w:ascii="宋体" w:hAnsi="宋体" w:cs="宋体"/>
                <w:kern w:val="2"/>
                <w:szCs w:val="21"/>
              </w:rPr>
            </w:pPr>
            <w:r>
              <w:rPr>
                <w:rFonts w:hint="eastAsia" w:ascii="宋体" w:hAnsi="宋体" w:cs="宋体"/>
                <w:kern w:val="2"/>
                <w:szCs w:val="21"/>
              </w:rPr>
              <w:t>1.6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BFFE56">
            <w:pPr>
              <w:jc w:val="center"/>
              <w:rPr>
                <w:rFonts w:ascii="宋体" w:hAnsi="宋体" w:cs="宋体"/>
                <w:kern w:val="2"/>
                <w:szCs w:val="21"/>
              </w:rPr>
            </w:pPr>
            <w:r>
              <w:rPr>
                <w:rFonts w:hint="eastAsia" w:ascii="宋体" w:hAnsi="宋体" w:cs="宋体"/>
                <w:kern w:val="2"/>
                <w:szCs w:val="21"/>
              </w:rPr>
              <w:t>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4F6A7D">
            <w:pPr>
              <w:jc w:val="center"/>
              <w:rPr>
                <w:rFonts w:ascii="宋体" w:hAnsi="宋体" w:cs="宋体"/>
                <w:kern w:val="2"/>
                <w:szCs w:val="21"/>
              </w:rPr>
            </w:pPr>
            <w:r>
              <w:rPr>
                <w:rFonts w:hint="eastAsia" w:ascii="宋体" w:hAnsi="宋体" w:cs="宋体"/>
                <w:kern w:val="2"/>
                <w:szCs w:val="21"/>
              </w:rPr>
              <w:t>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36028">
            <w:pPr>
              <w:jc w:val="center"/>
              <w:textAlignment w:val="center"/>
              <w:rPr>
                <w:rFonts w:ascii="宋体" w:hAnsi="宋体" w:cs="宋体"/>
                <w:kern w:val="2"/>
                <w:szCs w:val="21"/>
              </w:rPr>
            </w:pPr>
            <w:r>
              <w:rPr>
                <w:rFonts w:hint="eastAsia" w:ascii="宋体" w:hAnsi="宋体" w:cs="宋体"/>
                <w:kern w:val="2"/>
                <w:szCs w:val="21"/>
              </w:rPr>
              <w:t>约束性</w:t>
            </w:r>
          </w:p>
        </w:tc>
      </w:tr>
      <w:tr w14:paraId="73025CC0">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28B956">
            <w:pPr>
              <w:jc w:val="center"/>
              <w:textAlignment w:val="center"/>
              <w:rPr>
                <w:rFonts w:ascii="宋体" w:hAnsi="宋体" w:cs="宋体"/>
                <w:kern w:val="2"/>
                <w:szCs w:val="21"/>
              </w:rPr>
            </w:pPr>
            <w:r>
              <w:rPr>
                <w:rFonts w:hint="eastAsia" w:ascii="宋体" w:hAnsi="宋体" w:cs="宋体"/>
                <w:kern w:val="2"/>
                <w:szCs w:val="21"/>
              </w:rPr>
              <w:t>10</w:t>
            </w:r>
          </w:p>
        </w:tc>
        <w:tc>
          <w:tcPr>
            <w:tcW w:w="708" w:type="dxa"/>
            <w:vMerge w:val="continue"/>
            <w:tcBorders>
              <w:left w:val="single" w:color="000000" w:sz="4" w:space="0"/>
              <w:right w:val="single" w:color="000000" w:sz="4" w:space="0"/>
            </w:tcBorders>
            <w:tcMar>
              <w:top w:w="15" w:type="dxa"/>
              <w:left w:w="15" w:type="dxa"/>
              <w:bottom w:w="0" w:type="dxa"/>
              <w:right w:w="15" w:type="dxa"/>
            </w:tcMar>
            <w:vAlign w:val="center"/>
          </w:tcPr>
          <w:p w14:paraId="0F4AF012">
            <w:pPr>
              <w:adjustRightInd/>
              <w:snapToGrid/>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A88242">
            <w:pPr>
              <w:jc w:val="center"/>
              <w:textAlignment w:val="center"/>
              <w:rPr>
                <w:rFonts w:ascii="宋体" w:hAnsi="宋体" w:cs="宋体"/>
                <w:kern w:val="2"/>
                <w:szCs w:val="21"/>
              </w:rPr>
            </w:pPr>
            <w:r>
              <w:rPr>
                <w:rFonts w:hint="eastAsia" w:ascii="宋体" w:hAnsi="宋体" w:cs="宋体"/>
                <w:kern w:val="2"/>
                <w:szCs w:val="21"/>
              </w:rPr>
              <w:t>劳动年龄人口平均受教育年限（年）</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56E133">
            <w:pPr>
              <w:jc w:val="center"/>
              <w:rPr>
                <w:rFonts w:ascii="宋体" w:hAnsi="宋体" w:cs="宋体"/>
                <w:kern w:val="2"/>
                <w:szCs w:val="21"/>
              </w:rPr>
            </w:pPr>
            <w:r>
              <w:rPr>
                <w:rFonts w:hint="eastAsia" w:ascii="宋体" w:hAnsi="宋体" w:cs="宋体"/>
                <w:kern w:val="2"/>
                <w:szCs w:val="21"/>
              </w:rPr>
              <w:t>10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80B5B">
            <w:pPr>
              <w:jc w:val="center"/>
              <w:rPr>
                <w:rFonts w:ascii="宋体" w:hAnsi="宋体" w:cs="宋体"/>
                <w:kern w:val="2"/>
                <w:szCs w:val="21"/>
              </w:rPr>
            </w:pPr>
            <w:r>
              <w:rPr>
                <w:rFonts w:hint="eastAsia" w:ascii="宋体" w:hAnsi="宋体" w:cs="宋体"/>
                <w:kern w:val="2"/>
                <w:szCs w:val="21"/>
              </w:rPr>
              <w:t>13.5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E701EF">
            <w:pPr>
              <w:jc w:val="center"/>
              <w:rPr>
                <w:rFonts w:ascii="宋体" w:hAnsi="宋体" w:cs="宋体"/>
                <w:kern w:val="2"/>
                <w:szCs w:val="21"/>
              </w:rPr>
            </w:pPr>
            <w:r>
              <w:rPr>
                <w:rFonts w:hint="eastAsia" w:ascii="宋体" w:hAnsi="宋体" w:cs="宋体"/>
                <w:kern w:val="2"/>
                <w:szCs w:val="21"/>
              </w:rPr>
              <w:t>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02C2B7">
            <w:pPr>
              <w:jc w:val="center"/>
              <w:textAlignment w:val="center"/>
              <w:rPr>
                <w:rFonts w:ascii="宋体" w:hAnsi="宋体" w:cs="宋体"/>
                <w:kern w:val="2"/>
                <w:szCs w:val="21"/>
              </w:rPr>
            </w:pPr>
            <w:r>
              <w:rPr>
                <w:rFonts w:hint="eastAsia" w:ascii="宋体" w:hAnsi="宋体" w:cs="宋体"/>
                <w:kern w:val="2"/>
                <w:szCs w:val="21"/>
              </w:rPr>
              <w:t>约束性</w:t>
            </w:r>
          </w:p>
        </w:tc>
      </w:tr>
      <w:tr w14:paraId="1F4BD59A">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AFCDC19">
            <w:pPr>
              <w:jc w:val="center"/>
              <w:textAlignment w:val="center"/>
              <w:rPr>
                <w:rFonts w:ascii="宋体" w:hAnsi="宋体" w:cs="宋体"/>
                <w:kern w:val="2"/>
                <w:szCs w:val="21"/>
              </w:rPr>
            </w:pPr>
            <w:r>
              <w:rPr>
                <w:rFonts w:hint="eastAsia" w:ascii="宋体" w:hAnsi="宋体" w:cs="宋体"/>
                <w:kern w:val="2"/>
                <w:szCs w:val="21"/>
              </w:rPr>
              <w:t>11</w:t>
            </w:r>
          </w:p>
        </w:tc>
        <w:tc>
          <w:tcPr>
            <w:tcW w:w="708" w:type="dxa"/>
            <w:vMerge w:val="continue"/>
            <w:tcBorders>
              <w:left w:val="single" w:color="000000" w:sz="4" w:space="0"/>
              <w:bottom w:val="single" w:color="auto" w:sz="4" w:space="0"/>
              <w:right w:val="single" w:color="000000" w:sz="4" w:space="0"/>
            </w:tcBorders>
            <w:tcMar>
              <w:top w:w="15" w:type="dxa"/>
              <w:left w:w="15" w:type="dxa"/>
              <w:bottom w:w="0" w:type="dxa"/>
              <w:right w:w="15" w:type="dxa"/>
            </w:tcMar>
            <w:vAlign w:val="center"/>
          </w:tcPr>
          <w:p w14:paraId="60A06AF4">
            <w:pPr>
              <w:adjustRightInd/>
              <w:snapToGrid/>
              <w:rPr>
                <w:rFonts w:ascii="宋体" w:hAnsi="宋体" w:cs="宋体"/>
                <w:kern w:val="2"/>
                <w:szCs w:val="21"/>
              </w:rPr>
            </w:pPr>
          </w:p>
        </w:tc>
        <w:tc>
          <w:tcPr>
            <w:tcW w:w="3686"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A93DBFD">
            <w:pPr>
              <w:jc w:val="center"/>
              <w:textAlignment w:val="center"/>
              <w:rPr>
                <w:rFonts w:ascii="宋体" w:hAnsi="宋体" w:cs="宋体"/>
                <w:kern w:val="2"/>
                <w:szCs w:val="21"/>
              </w:rPr>
            </w:pPr>
            <w:r>
              <w:rPr>
                <w:rFonts w:hint="eastAsia" w:ascii="宋体" w:hAnsi="宋体" w:cs="宋体"/>
                <w:kern w:val="2"/>
                <w:szCs w:val="21"/>
              </w:rPr>
              <w:t>基本养老保险参保率（%）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5FC3C">
            <w:pPr>
              <w:jc w:val="center"/>
              <w:rPr>
                <w:rFonts w:ascii="宋体" w:hAnsi="宋体" w:cs="宋体"/>
                <w:kern w:val="2"/>
                <w:szCs w:val="21"/>
              </w:rPr>
            </w:pPr>
            <w:r>
              <w:rPr>
                <w:rFonts w:hint="eastAsia" w:ascii="宋体" w:hAnsi="宋体" w:cs="宋体"/>
                <w:kern w:val="2"/>
                <w:szCs w:val="21"/>
              </w:rPr>
              <w:t>97</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ADFE6">
            <w:pPr>
              <w:jc w:val="center"/>
              <w:rPr>
                <w:rFonts w:ascii="宋体" w:hAnsi="宋体" w:cs="宋体"/>
                <w:kern w:val="2"/>
                <w:szCs w:val="21"/>
              </w:rPr>
            </w:pPr>
            <w:r>
              <w:rPr>
                <w:rFonts w:hint="eastAsia" w:ascii="宋体" w:hAnsi="宋体" w:cs="宋体"/>
                <w:kern w:val="2"/>
                <w:szCs w:val="21"/>
              </w:rPr>
              <w:t>100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3A738E">
            <w:pPr>
              <w:jc w:val="center"/>
              <w:rPr>
                <w:rFonts w:ascii="宋体" w:hAnsi="宋体" w:cs="宋体"/>
                <w:kern w:val="2"/>
                <w:szCs w:val="21"/>
              </w:rPr>
            </w:pPr>
            <w:r>
              <w:rPr>
                <w:rFonts w:hint="eastAsia" w:ascii="宋体" w:hAnsi="宋体" w:cs="宋体"/>
                <w:kern w:val="2"/>
                <w:szCs w:val="21"/>
              </w:rPr>
              <w:t>0.6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CFAAF4">
            <w:pPr>
              <w:jc w:val="center"/>
              <w:textAlignment w:val="center"/>
              <w:rPr>
                <w:rFonts w:ascii="宋体" w:hAnsi="宋体" w:cs="宋体"/>
                <w:kern w:val="2"/>
                <w:szCs w:val="21"/>
              </w:rPr>
            </w:pPr>
            <w:r>
              <w:rPr>
                <w:rFonts w:hint="eastAsia" w:ascii="宋体" w:hAnsi="宋体" w:cs="宋体"/>
                <w:kern w:val="2"/>
                <w:szCs w:val="21"/>
              </w:rPr>
              <w:t>预期性</w:t>
            </w:r>
          </w:p>
        </w:tc>
      </w:tr>
      <w:tr w14:paraId="50BC4140">
        <w:tblPrEx>
          <w:tblCellMar>
            <w:top w:w="0" w:type="dxa"/>
            <w:left w:w="0" w:type="dxa"/>
            <w:bottom w:w="0" w:type="dxa"/>
            <w:right w:w="0" w:type="dxa"/>
          </w:tblCellMar>
        </w:tblPrEx>
        <w:trPr>
          <w:gridAfter w:val="1"/>
          <w:wAfter w:w="663" w:type="dxa"/>
          <w:trHeight w:val="413" w:hRule="atLeast"/>
        </w:trPr>
        <w:tc>
          <w:tcPr>
            <w:tcW w:w="441"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55042">
            <w:pPr>
              <w:jc w:val="center"/>
              <w:textAlignment w:val="center"/>
              <w:rPr>
                <w:rFonts w:ascii="宋体" w:hAnsi="宋体" w:cs="宋体"/>
                <w:kern w:val="2"/>
                <w:szCs w:val="21"/>
              </w:rPr>
            </w:pPr>
            <w:r>
              <w:rPr>
                <w:rFonts w:hint="eastAsia" w:ascii="宋体" w:hAnsi="宋体" w:cs="宋体"/>
                <w:kern w:val="2"/>
                <w:szCs w:val="21"/>
              </w:rPr>
              <w:t>12</w:t>
            </w:r>
          </w:p>
        </w:tc>
        <w:tc>
          <w:tcPr>
            <w:tcW w:w="708" w:type="dxa"/>
            <w:vMerge w:val="restart"/>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234F40AC">
            <w:pPr>
              <w:jc w:val="center"/>
              <w:textAlignment w:val="center"/>
              <w:rPr>
                <w:rFonts w:ascii="宋体" w:hAnsi="宋体" w:cs="宋体"/>
                <w:kern w:val="2"/>
                <w:szCs w:val="21"/>
              </w:rPr>
            </w:pPr>
            <w:r>
              <w:rPr>
                <w:rFonts w:hint="eastAsia" w:ascii="宋体" w:hAnsi="宋体" w:cs="宋体"/>
                <w:kern w:val="2"/>
                <w:szCs w:val="21"/>
              </w:rPr>
              <w:t>绿色</w:t>
            </w:r>
          </w:p>
          <w:p w14:paraId="11B669BE">
            <w:pPr>
              <w:jc w:val="center"/>
              <w:textAlignment w:val="center"/>
              <w:rPr>
                <w:rFonts w:ascii="宋体" w:hAnsi="宋体" w:cs="宋体"/>
                <w:kern w:val="2"/>
                <w:szCs w:val="21"/>
              </w:rPr>
            </w:pPr>
            <w:r>
              <w:rPr>
                <w:rFonts w:hint="eastAsia" w:ascii="宋体" w:hAnsi="宋体" w:cs="宋体"/>
                <w:kern w:val="2"/>
                <w:szCs w:val="21"/>
              </w:rPr>
              <w:t>生态</w:t>
            </w:r>
          </w:p>
          <w:p w14:paraId="635C85C1">
            <w:pPr>
              <w:jc w:val="center"/>
              <w:rPr>
                <w:rFonts w:ascii="宋体" w:hAnsi="宋体" w:cs="宋体"/>
                <w:kern w:val="2"/>
                <w:szCs w:val="21"/>
              </w:rPr>
            </w:pPr>
          </w:p>
        </w:tc>
        <w:tc>
          <w:tcPr>
            <w:tcW w:w="3686"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FDEE85">
            <w:pPr>
              <w:jc w:val="center"/>
              <w:textAlignment w:val="center"/>
              <w:rPr>
                <w:rFonts w:ascii="宋体" w:hAnsi="宋体" w:cs="宋体"/>
                <w:kern w:val="2"/>
                <w:szCs w:val="21"/>
              </w:rPr>
            </w:pPr>
            <w:r>
              <w:rPr>
                <w:rFonts w:hint="eastAsia" w:ascii="宋体" w:hAnsi="宋体" w:cs="宋体"/>
                <w:kern w:val="2"/>
                <w:szCs w:val="21"/>
              </w:rPr>
              <w:t>单位地区生产总值能源消耗降幅（%）</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3F9776">
            <w:pPr>
              <w:jc w:val="center"/>
              <w:rPr>
                <w:rFonts w:ascii="宋体" w:hAnsi="宋体" w:cs="宋体"/>
                <w:kern w:val="2"/>
                <w:szCs w:val="21"/>
              </w:rPr>
            </w:pPr>
            <w:r>
              <w:rPr>
                <w:rFonts w:hint="eastAsia" w:ascii="宋体" w:hAnsi="宋体" w:cs="宋体"/>
                <w:kern w:val="2"/>
                <w:szCs w:val="21"/>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84B3B7">
            <w:pPr>
              <w:jc w:val="center"/>
              <w:rPr>
                <w:rFonts w:ascii="宋体" w:hAnsi="宋体" w:cs="宋体"/>
                <w:kern w:val="2"/>
                <w:szCs w:val="21"/>
              </w:rPr>
            </w:pPr>
            <w:r>
              <w:rPr>
                <w:rFonts w:hint="eastAsia" w:ascii="宋体" w:hAnsi="宋体" w:cs="宋体"/>
                <w:kern w:val="2"/>
                <w:szCs w:val="21"/>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944D99">
            <w:pPr>
              <w:jc w:val="center"/>
              <w:rPr>
                <w:rFonts w:ascii="宋体" w:hAnsi="宋体" w:cs="宋体"/>
                <w:kern w:val="2"/>
                <w:szCs w:val="21"/>
              </w:rPr>
            </w:pPr>
            <w:r>
              <w:rPr>
                <w:rFonts w:hint="eastAsia" w:ascii="宋体" w:hAnsi="宋体" w:cs="宋体"/>
                <w:kern w:val="2"/>
                <w:szCs w:val="21"/>
              </w:rPr>
              <w:t>达到包头市要求</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7CA837">
            <w:pPr>
              <w:jc w:val="center"/>
              <w:textAlignment w:val="center"/>
              <w:rPr>
                <w:rFonts w:ascii="宋体" w:hAnsi="宋体" w:cs="宋体"/>
                <w:kern w:val="2"/>
                <w:szCs w:val="21"/>
              </w:rPr>
            </w:pPr>
            <w:r>
              <w:rPr>
                <w:rFonts w:hint="eastAsia" w:ascii="宋体" w:hAnsi="宋体" w:cs="宋体"/>
                <w:kern w:val="2"/>
                <w:szCs w:val="21"/>
              </w:rPr>
              <w:t>约束性</w:t>
            </w:r>
          </w:p>
        </w:tc>
      </w:tr>
      <w:tr w14:paraId="0A0E9200">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931886">
            <w:pPr>
              <w:jc w:val="center"/>
              <w:textAlignment w:val="center"/>
              <w:rPr>
                <w:rFonts w:ascii="宋体" w:hAnsi="宋体" w:cs="宋体"/>
                <w:kern w:val="2"/>
                <w:szCs w:val="21"/>
              </w:rPr>
            </w:pPr>
            <w:r>
              <w:rPr>
                <w:rFonts w:hint="eastAsia" w:ascii="宋体" w:hAnsi="宋体" w:cs="宋体"/>
                <w:kern w:val="2"/>
                <w:szCs w:val="21"/>
              </w:rPr>
              <w:t>13</w:t>
            </w:r>
          </w:p>
        </w:tc>
        <w:tc>
          <w:tcPr>
            <w:tcW w:w="708" w:type="dxa"/>
            <w:vMerge w:val="continue"/>
            <w:tcBorders>
              <w:left w:val="single" w:color="000000" w:sz="4" w:space="0"/>
              <w:right w:val="single" w:color="000000" w:sz="4" w:space="0"/>
            </w:tcBorders>
            <w:tcMar>
              <w:top w:w="15" w:type="dxa"/>
              <w:left w:w="15" w:type="dxa"/>
              <w:bottom w:w="0" w:type="dxa"/>
              <w:right w:w="15" w:type="dxa"/>
            </w:tcMar>
            <w:vAlign w:val="center"/>
          </w:tcPr>
          <w:p w14:paraId="72E683DB">
            <w:pPr>
              <w:jc w:val="center"/>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44654">
            <w:pPr>
              <w:jc w:val="center"/>
              <w:textAlignment w:val="center"/>
              <w:rPr>
                <w:rFonts w:ascii="宋体" w:hAnsi="宋体" w:cs="宋体"/>
                <w:kern w:val="2"/>
                <w:szCs w:val="21"/>
              </w:rPr>
            </w:pPr>
            <w:r>
              <w:rPr>
                <w:rFonts w:hint="eastAsia" w:ascii="宋体" w:hAnsi="宋体" w:cs="宋体"/>
                <w:kern w:val="2"/>
                <w:szCs w:val="21"/>
              </w:rPr>
              <w:t>单位地区生产总值二氧化碳排放降幅（%）</w:t>
            </w:r>
          </w:p>
        </w:tc>
        <w:tc>
          <w:tcPr>
            <w:tcW w:w="850"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CD3549C">
            <w:pPr>
              <w:jc w:val="center"/>
              <w:rPr>
                <w:rFonts w:ascii="宋体" w:hAnsi="宋体" w:cs="宋体"/>
                <w:kern w:val="2"/>
                <w:szCs w:val="21"/>
              </w:rPr>
            </w:pPr>
            <w:r>
              <w:rPr>
                <w:rFonts w:hint="eastAsia" w:ascii="宋体" w:hAnsi="宋体" w:cs="宋体"/>
                <w:kern w:val="2"/>
                <w:szCs w:val="21"/>
              </w:rPr>
              <w:t>-</w:t>
            </w:r>
          </w:p>
        </w:tc>
        <w:tc>
          <w:tcPr>
            <w:tcW w:w="85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7FF36A7C">
            <w:pPr>
              <w:jc w:val="center"/>
              <w:rPr>
                <w:rFonts w:ascii="宋体" w:hAnsi="宋体" w:cs="宋体"/>
                <w:kern w:val="2"/>
                <w:szCs w:val="21"/>
              </w:rPr>
            </w:pPr>
            <w:r>
              <w:rPr>
                <w:rFonts w:hint="eastAsia" w:ascii="宋体" w:hAnsi="宋体" w:cs="宋体"/>
                <w:kern w:val="2"/>
                <w:szCs w:val="21"/>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C33FA">
            <w:pPr>
              <w:jc w:val="center"/>
              <w:rPr>
                <w:rFonts w:ascii="宋体" w:hAnsi="宋体" w:cs="宋体"/>
                <w:kern w:val="2"/>
                <w:szCs w:val="21"/>
              </w:rPr>
            </w:pPr>
            <w:r>
              <w:rPr>
                <w:rFonts w:hint="eastAsia" w:ascii="宋体" w:hAnsi="宋体" w:cs="宋体"/>
                <w:kern w:val="2"/>
                <w:szCs w:val="21"/>
              </w:rPr>
              <w:t>达到包头市要求</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918B1">
            <w:pPr>
              <w:jc w:val="center"/>
              <w:textAlignment w:val="center"/>
              <w:rPr>
                <w:rFonts w:ascii="宋体" w:hAnsi="宋体" w:cs="宋体"/>
                <w:kern w:val="2"/>
                <w:szCs w:val="21"/>
              </w:rPr>
            </w:pPr>
            <w:r>
              <w:rPr>
                <w:rFonts w:hint="eastAsia" w:ascii="宋体" w:hAnsi="宋体" w:cs="宋体"/>
                <w:kern w:val="2"/>
                <w:szCs w:val="21"/>
              </w:rPr>
              <w:t>约束性</w:t>
            </w:r>
          </w:p>
        </w:tc>
      </w:tr>
      <w:tr w14:paraId="3391BEE5">
        <w:tblPrEx>
          <w:tblCellMar>
            <w:top w:w="0" w:type="dxa"/>
            <w:left w:w="0" w:type="dxa"/>
            <w:bottom w:w="0" w:type="dxa"/>
            <w:right w:w="0" w:type="dxa"/>
          </w:tblCellMar>
        </w:tblPrEx>
        <w:trPr>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E096B">
            <w:pPr>
              <w:jc w:val="center"/>
              <w:textAlignment w:val="center"/>
              <w:rPr>
                <w:rFonts w:ascii="宋体" w:hAnsi="宋体" w:cs="宋体"/>
                <w:kern w:val="2"/>
                <w:szCs w:val="21"/>
              </w:rPr>
            </w:pPr>
            <w:r>
              <w:rPr>
                <w:rFonts w:hint="eastAsia" w:ascii="宋体" w:hAnsi="宋体" w:cs="宋体"/>
                <w:kern w:val="2"/>
                <w:szCs w:val="21"/>
              </w:rPr>
              <w:t>14</w:t>
            </w:r>
          </w:p>
        </w:tc>
        <w:tc>
          <w:tcPr>
            <w:tcW w:w="708" w:type="dxa"/>
            <w:vMerge w:val="continue"/>
            <w:tcBorders>
              <w:left w:val="single" w:color="000000" w:sz="4" w:space="0"/>
              <w:right w:val="single" w:color="000000" w:sz="4" w:space="0"/>
            </w:tcBorders>
            <w:tcMar>
              <w:top w:w="15" w:type="dxa"/>
              <w:left w:w="15" w:type="dxa"/>
              <w:bottom w:w="0" w:type="dxa"/>
              <w:right w:w="15" w:type="dxa"/>
            </w:tcMar>
            <w:vAlign w:val="center"/>
          </w:tcPr>
          <w:p w14:paraId="0ECE820B">
            <w:pPr>
              <w:jc w:val="center"/>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966E47">
            <w:pPr>
              <w:jc w:val="center"/>
              <w:textAlignment w:val="center"/>
              <w:rPr>
                <w:rFonts w:ascii="宋体" w:hAnsi="宋体" w:cs="宋体"/>
                <w:kern w:val="2"/>
                <w:szCs w:val="21"/>
              </w:rPr>
            </w:pPr>
            <w:r>
              <w:rPr>
                <w:rFonts w:hint="eastAsia" w:ascii="宋体" w:hAnsi="宋体" w:cs="宋体"/>
                <w:kern w:val="2"/>
                <w:szCs w:val="21"/>
              </w:rPr>
              <w:t>城区空气质量优良天数占比（%）</w:t>
            </w:r>
          </w:p>
        </w:tc>
        <w:tc>
          <w:tcPr>
            <w:tcW w:w="850"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2D0CEEF">
            <w:pPr>
              <w:jc w:val="center"/>
              <w:rPr>
                <w:rFonts w:ascii="宋体" w:hAnsi="宋体" w:cs="宋体"/>
                <w:kern w:val="2"/>
                <w:szCs w:val="21"/>
              </w:rPr>
            </w:pPr>
            <w:r>
              <w:rPr>
                <w:rFonts w:hint="eastAsia" w:ascii="宋体" w:hAnsi="宋体" w:cs="宋体"/>
                <w:kern w:val="2"/>
                <w:szCs w:val="21"/>
              </w:rPr>
              <w:t>92</w:t>
            </w:r>
          </w:p>
        </w:tc>
        <w:tc>
          <w:tcPr>
            <w:tcW w:w="85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34807019">
            <w:pPr>
              <w:jc w:val="center"/>
              <w:rPr>
                <w:rFonts w:ascii="宋体" w:hAnsi="宋体" w:cs="宋体"/>
                <w:kern w:val="2"/>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E67BD">
            <w:pPr>
              <w:jc w:val="center"/>
              <w:rPr>
                <w:rFonts w:ascii="宋体" w:hAnsi="宋体" w:cs="宋体"/>
                <w:kern w:val="2"/>
                <w:szCs w:val="21"/>
              </w:rPr>
            </w:pPr>
            <w:r>
              <w:rPr>
                <w:rFonts w:hint="eastAsia" w:ascii="宋体" w:hAnsi="宋体" w:cs="宋体"/>
                <w:kern w:val="2"/>
                <w:szCs w:val="21"/>
              </w:rPr>
              <w:t>达到自治区要求</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F84C12">
            <w:pPr>
              <w:jc w:val="center"/>
              <w:textAlignment w:val="center"/>
              <w:rPr>
                <w:rFonts w:ascii="宋体" w:hAnsi="宋体" w:cs="宋体"/>
                <w:kern w:val="2"/>
                <w:szCs w:val="21"/>
              </w:rPr>
            </w:pPr>
            <w:r>
              <w:rPr>
                <w:rFonts w:hint="eastAsia" w:ascii="宋体" w:hAnsi="宋体" w:cs="宋体"/>
                <w:kern w:val="2"/>
                <w:szCs w:val="21"/>
              </w:rPr>
              <w:t>约束性</w:t>
            </w:r>
          </w:p>
        </w:tc>
        <w:tc>
          <w:tcPr>
            <w:tcW w:w="663" w:type="dxa"/>
            <w:vAlign w:val="center"/>
          </w:tcPr>
          <w:p w14:paraId="293B4FF4">
            <w:pPr>
              <w:jc w:val="center"/>
              <w:textAlignment w:val="center"/>
              <w:rPr>
                <w:rFonts w:ascii="宋体" w:hAnsi="宋体" w:cs="宋体"/>
                <w:kern w:val="2"/>
                <w:szCs w:val="21"/>
              </w:rPr>
            </w:pPr>
          </w:p>
        </w:tc>
      </w:tr>
      <w:tr w14:paraId="454A073A">
        <w:tblPrEx>
          <w:tblCellMar>
            <w:top w:w="0" w:type="dxa"/>
            <w:left w:w="0" w:type="dxa"/>
            <w:bottom w:w="0" w:type="dxa"/>
            <w:right w:w="0" w:type="dxa"/>
          </w:tblCellMar>
        </w:tblPrEx>
        <w:trPr>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C5A295">
            <w:pPr>
              <w:jc w:val="center"/>
              <w:textAlignment w:val="center"/>
              <w:rPr>
                <w:rFonts w:ascii="宋体" w:hAnsi="宋体" w:cs="宋体"/>
                <w:kern w:val="2"/>
                <w:szCs w:val="21"/>
              </w:rPr>
            </w:pPr>
            <w:r>
              <w:rPr>
                <w:rFonts w:hint="eastAsia" w:ascii="宋体" w:hAnsi="宋体" w:cs="宋体"/>
                <w:kern w:val="2"/>
                <w:szCs w:val="21"/>
              </w:rPr>
              <w:t>15</w:t>
            </w:r>
          </w:p>
        </w:tc>
        <w:tc>
          <w:tcPr>
            <w:tcW w:w="708" w:type="dxa"/>
            <w:vMerge w:val="continue"/>
            <w:tcBorders>
              <w:left w:val="single" w:color="000000" w:sz="4" w:space="0"/>
              <w:right w:val="single" w:color="000000" w:sz="4" w:space="0"/>
            </w:tcBorders>
            <w:tcMar>
              <w:top w:w="15" w:type="dxa"/>
              <w:left w:w="15" w:type="dxa"/>
              <w:bottom w:w="0" w:type="dxa"/>
              <w:right w:w="15" w:type="dxa"/>
            </w:tcMar>
            <w:vAlign w:val="center"/>
          </w:tcPr>
          <w:p w14:paraId="50F88001">
            <w:pPr>
              <w:adjustRightInd/>
              <w:snapToGrid/>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DEFF36">
            <w:pPr>
              <w:jc w:val="center"/>
              <w:textAlignment w:val="center"/>
              <w:rPr>
                <w:rFonts w:ascii="宋体" w:hAnsi="宋体" w:cs="宋体"/>
                <w:kern w:val="2"/>
                <w:szCs w:val="21"/>
              </w:rPr>
            </w:pPr>
            <w:r>
              <w:rPr>
                <w:rFonts w:hint="eastAsia" w:ascii="宋体" w:hAnsi="宋体" w:cs="宋体"/>
                <w:kern w:val="2"/>
                <w:szCs w:val="21"/>
              </w:rPr>
              <w:t>达到或好于三类水体占地表水比例（%）</w:t>
            </w:r>
          </w:p>
        </w:tc>
        <w:tc>
          <w:tcPr>
            <w:tcW w:w="850"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7E37A52">
            <w:pPr>
              <w:jc w:val="center"/>
              <w:rPr>
                <w:rFonts w:ascii="宋体" w:hAnsi="宋体" w:cs="宋体"/>
                <w:kern w:val="2"/>
                <w:szCs w:val="21"/>
              </w:rPr>
            </w:pPr>
            <w:r>
              <w:rPr>
                <w:rFonts w:hint="eastAsia" w:ascii="宋体" w:hAnsi="宋体" w:cs="宋体"/>
                <w:kern w:val="2"/>
                <w:szCs w:val="21"/>
              </w:rPr>
              <w:t>75</w:t>
            </w:r>
          </w:p>
        </w:tc>
        <w:tc>
          <w:tcPr>
            <w:tcW w:w="85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DD36C63">
            <w:pPr>
              <w:jc w:val="center"/>
              <w:rPr>
                <w:rFonts w:ascii="宋体" w:hAnsi="宋体" w:cs="宋体"/>
                <w:kern w:val="2"/>
                <w:szCs w:val="21"/>
              </w:rPr>
            </w:pPr>
            <w:r>
              <w:rPr>
                <w:rFonts w:hint="eastAsia" w:ascii="宋体" w:hAnsi="宋体" w:cs="宋体"/>
                <w:kern w:val="2"/>
                <w:szCs w:val="21"/>
              </w:rPr>
              <w:t>80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72E7ED">
            <w:pPr>
              <w:jc w:val="center"/>
              <w:rPr>
                <w:rFonts w:ascii="宋体" w:hAnsi="宋体" w:cs="宋体"/>
                <w:kern w:val="2"/>
                <w:szCs w:val="21"/>
              </w:rPr>
            </w:pPr>
            <w:r>
              <w:rPr>
                <w:rFonts w:hint="eastAsia" w:ascii="宋体" w:hAnsi="宋体" w:cs="宋体"/>
                <w:kern w:val="2"/>
                <w:szCs w:val="21"/>
              </w:rPr>
              <w:t>达到自治区要求</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F0D5CC">
            <w:pPr>
              <w:jc w:val="center"/>
              <w:textAlignment w:val="center"/>
              <w:rPr>
                <w:rFonts w:ascii="宋体" w:hAnsi="宋体" w:cs="宋体"/>
                <w:kern w:val="2"/>
                <w:szCs w:val="21"/>
              </w:rPr>
            </w:pPr>
            <w:r>
              <w:rPr>
                <w:rFonts w:hint="eastAsia" w:ascii="宋体" w:hAnsi="宋体" w:cs="宋体"/>
                <w:kern w:val="2"/>
                <w:szCs w:val="21"/>
              </w:rPr>
              <w:t>约束性</w:t>
            </w:r>
          </w:p>
        </w:tc>
        <w:tc>
          <w:tcPr>
            <w:tcW w:w="663" w:type="dxa"/>
            <w:vAlign w:val="center"/>
          </w:tcPr>
          <w:p w14:paraId="2F7BF08A">
            <w:pPr>
              <w:jc w:val="center"/>
              <w:textAlignment w:val="center"/>
              <w:rPr>
                <w:rFonts w:ascii="宋体" w:hAnsi="宋体" w:cs="宋体"/>
                <w:kern w:val="2"/>
                <w:szCs w:val="21"/>
              </w:rPr>
            </w:pPr>
          </w:p>
        </w:tc>
      </w:tr>
      <w:tr w14:paraId="031B6AFA">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802EBD">
            <w:pPr>
              <w:jc w:val="center"/>
              <w:textAlignment w:val="center"/>
              <w:rPr>
                <w:rFonts w:ascii="宋体" w:hAnsi="宋体" w:cs="宋体"/>
                <w:kern w:val="2"/>
                <w:szCs w:val="21"/>
              </w:rPr>
            </w:pPr>
            <w:r>
              <w:rPr>
                <w:rFonts w:hint="eastAsia" w:ascii="宋体" w:hAnsi="宋体" w:cs="宋体"/>
                <w:kern w:val="2"/>
                <w:szCs w:val="21"/>
              </w:rPr>
              <w:t>16</w:t>
            </w:r>
          </w:p>
        </w:tc>
        <w:tc>
          <w:tcPr>
            <w:tcW w:w="708" w:type="dxa"/>
            <w:vMerge w:val="continue"/>
            <w:tcBorders>
              <w:left w:val="single" w:color="000000" w:sz="4" w:space="0"/>
              <w:right w:val="single" w:color="000000" w:sz="4" w:space="0"/>
            </w:tcBorders>
            <w:tcMar>
              <w:top w:w="15" w:type="dxa"/>
              <w:left w:w="15" w:type="dxa"/>
              <w:bottom w:w="0" w:type="dxa"/>
              <w:right w:w="15" w:type="dxa"/>
            </w:tcMar>
            <w:vAlign w:val="center"/>
          </w:tcPr>
          <w:p w14:paraId="3C9056DA">
            <w:pPr>
              <w:adjustRightInd/>
              <w:snapToGrid/>
              <w:rPr>
                <w:rFonts w:ascii="宋体" w:hAnsi="宋体" w:cs="宋体"/>
                <w:kern w:val="2"/>
                <w:szCs w:val="21"/>
              </w:rPr>
            </w:pPr>
          </w:p>
        </w:tc>
        <w:tc>
          <w:tcPr>
            <w:tcW w:w="36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E17C67">
            <w:pPr>
              <w:jc w:val="center"/>
              <w:textAlignment w:val="center"/>
              <w:rPr>
                <w:rFonts w:ascii="宋体" w:hAnsi="宋体" w:cs="宋体"/>
                <w:kern w:val="2"/>
                <w:szCs w:val="21"/>
              </w:rPr>
            </w:pPr>
            <w:r>
              <w:rPr>
                <w:rFonts w:hint="eastAsia" w:ascii="宋体" w:hAnsi="宋体" w:cs="宋体"/>
                <w:kern w:val="2"/>
                <w:szCs w:val="21"/>
              </w:rPr>
              <w:t>草原植被盖度（%）</w:t>
            </w:r>
          </w:p>
        </w:tc>
        <w:tc>
          <w:tcPr>
            <w:tcW w:w="850"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124D85B1">
            <w:pPr>
              <w:jc w:val="center"/>
              <w:rPr>
                <w:rFonts w:ascii="宋体" w:hAnsi="宋体" w:cs="宋体"/>
                <w:kern w:val="2"/>
                <w:szCs w:val="21"/>
              </w:rPr>
            </w:pPr>
            <w:r>
              <w:rPr>
                <w:rFonts w:hint="eastAsia" w:ascii="宋体" w:hAnsi="宋体" w:cs="宋体"/>
                <w:kern w:val="2"/>
                <w:szCs w:val="21"/>
              </w:rPr>
              <w:t>30.1</w:t>
            </w:r>
          </w:p>
        </w:tc>
        <w:tc>
          <w:tcPr>
            <w:tcW w:w="85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88AB464">
            <w:pPr>
              <w:jc w:val="center"/>
              <w:rPr>
                <w:rFonts w:ascii="宋体" w:hAnsi="宋体" w:cs="宋体"/>
                <w:kern w:val="2"/>
                <w:szCs w:val="21"/>
              </w:rPr>
            </w:pPr>
            <w:r>
              <w:rPr>
                <w:rFonts w:hint="eastAsia" w:ascii="宋体" w:hAnsi="宋体" w:cs="宋体"/>
                <w:kern w:val="2"/>
                <w:szCs w:val="21"/>
              </w:rPr>
              <w:t>32</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71AEF">
            <w:pPr>
              <w:jc w:val="center"/>
              <w:rPr>
                <w:rFonts w:ascii="宋体" w:hAnsi="宋体" w:cs="宋体"/>
                <w:kern w:val="2"/>
                <w:szCs w:val="21"/>
              </w:rPr>
            </w:pPr>
            <w:r>
              <w:rPr>
                <w:rFonts w:hint="eastAsia" w:ascii="宋体" w:hAnsi="宋体" w:cs="宋体"/>
                <w:kern w:val="2"/>
                <w:szCs w:val="21"/>
              </w:rPr>
              <w:t>[1.9]</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02A95A">
            <w:pPr>
              <w:jc w:val="center"/>
              <w:textAlignment w:val="center"/>
              <w:rPr>
                <w:rFonts w:ascii="宋体" w:hAnsi="宋体" w:cs="宋体"/>
                <w:kern w:val="2"/>
                <w:szCs w:val="21"/>
              </w:rPr>
            </w:pPr>
            <w:r>
              <w:rPr>
                <w:rFonts w:hint="eastAsia" w:ascii="宋体" w:hAnsi="宋体" w:cs="宋体"/>
                <w:kern w:val="2"/>
                <w:szCs w:val="21"/>
              </w:rPr>
              <w:t>约束性</w:t>
            </w:r>
          </w:p>
        </w:tc>
      </w:tr>
      <w:tr w14:paraId="0F5C0FC3">
        <w:tblPrEx>
          <w:tblCellMar>
            <w:top w:w="0" w:type="dxa"/>
            <w:left w:w="0" w:type="dxa"/>
            <w:bottom w:w="0" w:type="dxa"/>
            <w:right w:w="0" w:type="dxa"/>
          </w:tblCellMar>
        </w:tblPrEx>
        <w:trPr>
          <w:gridAfter w:val="1"/>
          <w:wAfter w:w="663" w:type="dxa"/>
          <w:trHeight w:val="413" w:hRule="atLeast"/>
        </w:trPr>
        <w:tc>
          <w:tcPr>
            <w:tcW w:w="441"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9700C86">
            <w:pPr>
              <w:jc w:val="center"/>
              <w:textAlignment w:val="center"/>
              <w:rPr>
                <w:rFonts w:ascii="宋体" w:hAnsi="宋体" w:cs="宋体"/>
                <w:kern w:val="2"/>
                <w:szCs w:val="21"/>
              </w:rPr>
            </w:pPr>
            <w:r>
              <w:rPr>
                <w:rFonts w:hint="eastAsia" w:ascii="宋体" w:hAnsi="宋体" w:cs="宋体"/>
                <w:kern w:val="2"/>
                <w:szCs w:val="21"/>
              </w:rPr>
              <w:t>17</w:t>
            </w:r>
          </w:p>
        </w:tc>
        <w:tc>
          <w:tcPr>
            <w:tcW w:w="708" w:type="dxa"/>
            <w:vMerge w:val="continue"/>
            <w:tcBorders>
              <w:left w:val="single" w:color="000000" w:sz="4" w:space="0"/>
              <w:bottom w:val="single" w:color="auto" w:sz="4" w:space="0"/>
              <w:right w:val="single" w:color="000000" w:sz="4" w:space="0"/>
            </w:tcBorders>
            <w:tcMar>
              <w:top w:w="15" w:type="dxa"/>
              <w:left w:w="15" w:type="dxa"/>
              <w:bottom w:w="0" w:type="dxa"/>
              <w:right w:w="15" w:type="dxa"/>
            </w:tcMar>
            <w:vAlign w:val="center"/>
          </w:tcPr>
          <w:p w14:paraId="43D0ECB5">
            <w:pPr>
              <w:adjustRightInd/>
              <w:snapToGrid/>
              <w:rPr>
                <w:rFonts w:ascii="宋体" w:hAnsi="宋体" w:cs="宋体"/>
                <w:kern w:val="2"/>
                <w:szCs w:val="21"/>
              </w:rPr>
            </w:pPr>
          </w:p>
        </w:tc>
        <w:tc>
          <w:tcPr>
            <w:tcW w:w="3686"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39B2D41C">
            <w:pPr>
              <w:jc w:val="center"/>
              <w:textAlignment w:val="bottom"/>
              <w:rPr>
                <w:rFonts w:ascii="宋体" w:hAnsi="宋体" w:cs="宋体"/>
                <w:kern w:val="2"/>
                <w:szCs w:val="21"/>
              </w:rPr>
            </w:pPr>
            <w:r>
              <w:rPr>
                <w:rFonts w:hint="eastAsia" w:ascii="宋体" w:hAnsi="宋体" w:cs="宋体"/>
                <w:kern w:val="2"/>
                <w:szCs w:val="21"/>
              </w:rPr>
              <w:t>森林覆盖率（%）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411FBDA">
            <w:pPr>
              <w:jc w:val="center"/>
              <w:rPr>
                <w:rFonts w:ascii="宋体" w:hAnsi="宋体" w:cs="宋体"/>
                <w:kern w:val="2"/>
                <w:szCs w:val="21"/>
              </w:rPr>
            </w:pPr>
            <w:r>
              <w:rPr>
                <w:rFonts w:hint="eastAsia" w:ascii="宋体" w:hAnsi="宋体" w:cs="宋体"/>
                <w:kern w:val="2"/>
                <w:szCs w:val="21"/>
              </w:rPr>
              <w:t>14.9</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4C1B28A">
            <w:pPr>
              <w:jc w:val="center"/>
              <w:rPr>
                <w:rFonts w:ascii="宋体" w:hAnsi="宋体" w:cs="宋体"/>
                <w:kern w:val="2"/>
                <w:szCs w:val="21"/>
              </w:rPr>
            </w:pPr>
            <w:r>
              <w:rPr>
                <w:rFonts w:hint="eastAsia" w:ascii="宋体" w:hAnsi="宋体" w:cs="宋体"/>
                <w:kern w:val="2"/>
                <w:szCs w:val="21"/>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5D1AEA0">
            <w:pPr>
              <w:jc w:val="center"/>
              <w:rPr>
                <w:rFonts w:ascii="宋体" w:hAnsi="宋体" w:cs="宋体"/>
                <w:kern w:val="2"/>
                <w:szCs w:val="21"/>
              </w:rPr>
            </w:pPr>
            <w:r>
              <w:rPr>
                <w:rFonts w:hint="eastAsia" w:ascii="宋体" w:hAnsi="宋体" w:cs="宋体"/>
                <w:kern w:val="2"/>
                <w:szCs w:val="21"/>
              </w:rPr>
              <w:t>[0.7]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7845292">
            <w:pPr>
              <w:jc w:val="center"/>
              <w:textAlignment w:val="bottom"/>
              <w:rPr>
                <w:rFonts w:ascii="宋体" w:hAnsi="宋体" w:cs="宋体"/>
                <w:kern w:val="2"/>
                <w:szCs w:val="21"/>
              </w:rPr>
            </w:pPr>
            <w:r>
              <w:rPr>
                <w:rFonts w:hint="eastAsia" w:ascii="宋体" w:hAnsi="宋体" w:cs="宋体"/>
                <w:kern w:val="2"/>
                <w:szCs w:val="21"/>
              </w:rPr>
              <w:t>约束性</w:t>
            </w:r>
          </w:p>
        </w:tc>
      </w:tr>
      <w:tr w14:paraId="6508FC5B">
        <w:tblPrEx>
          <w:tblCellMar>
            <w:top w:w="0" w:type="dxa"/>
            <w:left w:w="0" w:type="dxa"/>
            <w:bottom w:w="0" w:type="dxa"/>
            <w:right w:w="0" w:type="dxa"/>
          </w:tblCellMar>
        </w:tblPrEx>
        <w:trPr>
          <w:gridAfter w:val="1"/>
          <w:wAfter w:w="663" w:type="dxa"/>
          <w:trHeight w:val="413" w:hRule="atLeast"/>
        </w:trPr>
        <w:tc>
          <w:tcPr>
            <w:tcW w:w="441"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BB955D">
            <w:pPr>
              <w:jc w:val="center"/>
              <w:textAlignment w:val="center"/>
              <w:rPr>
                <w:rFonts w:ascii="宋体" w:hAnsi="宋体" w:cs="宋体"/>
                <w:kern w:val="2"/>
                <w:szCs w:val="21"/>
              </w:rPr>
            </w:pPr>
            <w:r>
              <w:rPr>
                <w:rFonts w:hint="eastAsia" w:ascii="宋体" w:hAnsi="宋体" w:cs="宋体"/>
                <w:kern w:val="2"/>
                <w:szCs w:val="21"/>
              </w:rPr>
              <w:t>18</w:t>
            </w:r>
          </w:p>
        </w:tc>
        <w:tc>
          <w:tcPr>
            <w:tcW w:w="708" w:type="dxa"/>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77139EB8">
            <w:pPr>
              <w:jc w:val="center"/>
              <w:textAlignment w:val="center"/>
              <w:rPr>
                <w:rFonts w:ascii="宋体" w:hAnsi="宋体" w:cs="宋体"/>
                <w:kern w:val="2"/>
                <w:szCs w:val="21"/>
              </w:rPr>
            </w:pPr>
            <w:r>
              <w:rPr>
                <w:rFonts w:hint="eastAsia" w:ascii="宋体" w:hAnsi="宋体" w:cs="宋体"/>
                <w:kern w:val="2"/>
                <w:szCs w:val="21"/>
              </w:rPr>
              <w:t>对外</w:t>
            </w:r>
          </w:p>
          <w:p w14:paraId="11E8192C">
            <w:pPr>
              <w:jc w:val="center"/>
              <w:textAlignment w:val="center"/>
              <w:rPr>
                <w:rFonts w:ascii="宋体" w:hAnsi="宋体" w:cs="宋体"/>
                <w:kern w:val="2"/>
                <w:szCs w:val="21"/>
              </w:rPr>
            </w:pPr>
            <w:r>
              <w:rPr>
                <w:rFonts w:hint="eastAsia" w:ascii="宋体" w:hAnsi="宋体" w:cs="宋体"/>
                <w:kern w:val="2"/>
                <w:szCs w:val="21"/>
              </w:rPr>
              <w:t>开放</w:t>
            </w:r>
          </w:p>
        </w:tc>
        <w:tc>
          <w:tcPr>
            <w:tcW w:w="3686"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2AA214">
            <w:pPr>
              <w:jc w:val="center"/>
              <w:textAlignment w:val="center"/>
              <w:rPr>
                <w:rFonts w:ascii="宋体" w:hAnsi="宋体" w:cs="宋体"/>
                <w:kern w:val="2"/>
                <w:szCs w:val="21"/>
              </w:rPr>
            </w:pPr>
            <w:r>
              <w:rPr>
                <w:rFonts w:hint="eastAsia" w:ascii="宋体" w:hAnsi="宋体" w:cs="宋体"/>
                <w:kern w:val="2"/>
                <w:szCs w:val="21"/>
              </w:rPr>
              <w:t>进出口货物总额（万吨）</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8C5381">
            <w:pPr>
              <w:jc w:val="center"/>
              <w:textAlignment w:val="center"/>
              <w:rPr>
                <w:rFonts w:ascii="宋体" w:hAnsi="宋体" w:cs="宋体"/>
                <w:kern w:val="2"/>
                <w:szCs w:val="21"/>
              </w:rPr>
            </w:pPr>
            <w:r>
              <w:rPr>
                <w:rFonts w:hint="eastAsia" w:ascii="宋体" w:hAnsi="宋体" w:cs="宋体"/>
                <w:kern w:val="2"/>
                <w:szCs w:val="21"/>
              </w:rPr>
              <w:t>72.55</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9EB597">
            <w:pPr>
              <w:jc w:val="center"/>
              <w:textAlignment w:val="center"/>
              <w:rPr>
                <w:rFonts w:ascii="宋体" w:hAnsi="宋体" w:cs="宋体"/>
                <w:kern w:val="2"/>
                <w:szCs w:val="21"/>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AAB5F3">
            <w:pPr>
              <w:jc w:val="center"/>
              <w:textAlignment w:val="center"/>
              <w:rPr>
                <w:rFonts w:ascii="宋体" w:hAnsi="宋体" w:cs="宋体"/>
                <w:kern w:val="2"/>
                <w:szCs w:val="21"/>
              </w:rPr>
            </w:pPr>
            <w:r>
              <w:rPr>
                <w:rFonts w:hint="eastAsia" w:ascii="宋体" w:hAnsi="宋体" w:cs="宋体"/>
                <w:kern w:val="2"/>
                <w:szCs w:val="21"/>
              </w:rPr>
              <w:t>[1500]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45A3C5">
            <w:pPr>
              <w:jc w:val="center"/>
              <w:textAlignment w:val="center"/>
              <w:rPr>
                <w:rFonts w:ascii="宋体" w:hAnsi="宋体" w:cs="宋体"/>
                <w:kern w:val="2"/>
                <w:szCs w:val="21"/>
              </w:rPr>
            </w:pPr>
            <w:r>
              <w:rPr>
                <w:rFonts w:hint="eastAsia" w:ascii="宋体" w:hAnsi="宋体" w:cs="宋体"/>
                <w:kern w:val="2"/>
                <w:szCs w:val="21"/>
              </w:rPr>
              <w:t>预期性</w:t>
            </w:r>
          </w:p>
        </w:tc>
      </w:tr>
      <w:tr w14:paraId="49C9DCA7">
        <w:tblPrEx>
          <w:tblCellMar>
            <w:top w:w="0" w:type="dxa"/>
            <w:left w:w="0" w:type="dxa"/>
            <w:bottom w:w="0" w:type="dxa"/>
            <w:right w:w="0" w:type="dxa"/>
          </w:tblCellMar>
        </w:tblPrEx>
        <w:trPr>
          <w:gridAfter w:val="1"/>
          <w:wAfter w:w="663" w:type="dxa"/>
          <w:trHeight w:val="459" w:hRule="atLeast"/>
        </w:trPr>
        <w:tc>
          <w:tcPr>
            <w:tcW w:w="8521"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2B9E54">
            <w:pPr>
              <w:ind w:firstLine="105" w:firstLineChars="50"/>
              <w:textAlignment w:val="center"/>
              <w:rPr>
                <w:rFonts w:ascii="宋体" w:hAnsi="宋体" w:cs="宋体"/>
                <w:kern w:val="2"/>
                <w:szCs w:val="21"/>
              </w:rPr>
            </w:pPr>
            <w:r>
              <w:rPr>
                <w:rFonts w:hint="eastAsia" w:ascii="宋体" w:hAnsi="宋体" w:cs="宋体"/>
                <w:kern w:val="2"/>
                <w:szCs w:val="21"/>
              </w:rPr>
              <w:t>[]为累计数</w:t>
            </w:r>
          </w:p>
        </w:tc>
      </w:tr>
    </w:tbl>
    <w:p w14:paraId="6FDB8444">
      <w:pPr>
        <w:spacing w:line="640" w:lineRule="exact"/>
        <w:rPr>
          <w:sz w:val="36"/>
          <w:szCs w:val="36"/>
          <w:lang w:val="zh-CN"/>
        </w:rPr>
      </w:pPr>
    </w:p>
    <w:p w14:paraId="5A8E25E1">
      <w:pPr>
        <w:pStyle w:val="3"/>
      </w:pPr>
      <w:bookmarkStart w:id="10" w:name="_Toc71878854"/>
      <w:r>
        <w:rPr>
          <w:rFonts w:hint="eastAsia"/>
        </w:rPr>
        <w:t>第三章 创新驱动 全面打造发展新动能</w:t>
      </w:r>
      <w:bookmarkEnd w:id="10"/>
    </w:p>
    <w:p w14:paraId="247C08CA">
      <w:pPr>
        <w:widowControl w:val="0"/>
        <w:spacing w:line="6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围绕包头市建设创新创业城市，加快以科技创新为核心的全面创新，大力实施科技创新驱动战略，推动科技、信息与经济社会融合发展，促进创新成果加快转化为现实生产力，塑造更多依靠创新驱动的引领型发展，为</w:t>
      </w:r>
      <w:r>
        <w:rPr>
          <w:rFonts w:hint="eastAsia" w:ascii="仿宋_GB2312" w:hAnsi="仿宋" w:eastAsia="仿宋_GB2312"/>
          <w:sz w:val="32"/>
          <w:szCs w:val="32"/>
          <w:lang w:eastAsia="zh-CN"/>
        </w:rPr>
        <w:t>建设现代化经济体系</w:t>
      </w:r>
      <w:bookmarkStart w:id="136" w:name="_GoBack"/>
      <w:bookmarkEnd w:id="136"/>
      <w:r>
        <w:rPr>
          <w:rFonts w:hint="eastAsia" w:ascii="仿宋_GB2312" w:hAnsi="仿宋" w:eastAsia="仿宋_GB2312"/>
          <w:sz w:val="32"/>
          <w:szCs w:val="32"/>
        </w:rPr>
        <w:t>、实现高质量发展提供强大支撑。</w:t>
      </w:r>
    </w:p>
    <w:p w14:paraId="4F4AB379">
      <w:pPr>
        <w:pStyle w:val="4"/>
      </w:pPr>
      <w:bookmarkStart w:id="11" w:name="_Toc71878855"/>
      <w:r>
        <w:rPr>
          <w:rFonts w:hint="eastAsia"/>
        </w:rPr>
        <w:t>第一节 增进科技创新动力</w:t>
      </w:r>
      <w:bookmarkEnd w:id="11"/>
    </w:p>
    <w:p w14:paraId="5C10C40D">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实施创新平台攻坚行动，主动对接包头市打造高能级科创平台部署，积极争取新能源、农牧业、工业、大数据等方面的市级以上创新平台落户达茂。加强公共技术服务平台建设，建立健全农牧业、工业、科技创新等技术服务体系，完善企业技术共享机制。实施关键技术攻坚行动，聚焦钢铁稀土、新材料、新能源、农畜产品加工、蒙中药材、大数据、微电网等领域，开展技术研发、技术创新，积极承接国家、自治区和包头市重大科技项目。实施合作研发攻坚行动，立足新能源、钢铁稀土等比较优势，推动与金风科技等高新技术企业、东南大学等高等院校、五二研究所等科研机构等合作共建研发机构，建立稳定的技术合作关系，打造更多创新共同体。</w:t>
      </w:r>
    </w:p>
    <w:p w14:paraId="4CBC6511">
      <w:pPr>
        <w:pStyle w:val="4"/>
      </w:pPr>
      <w:bookmarkStart w:id="12" w:name="_Toc71878856"/>
      <w:r>
        <w:rPr>
          <w:rFonts w:hint="eastAsia"/>
        </w:rPr>
        <w:t>第二节 提升企业创新能力</w:t>
      </w:r>
      <w:bookmarkEnd w:id="12"/>
    </w:p>
    <w:p w14:paraId="0AD0A8BB">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完善支持企业创新政策措施，加大人才、资金、技术等方面投入，促进各类创新要素向企业集聚。鼓励企业自主创新，针对我旗产业特点，支持引进干磨干选、大规模储能、光伏供暖等国内创新技术，提高企业产业技术含量。推进产学研用深度融合，支持企业牵头组建创新联合体，利用共性技术平台、承担重大科技项目，支持规上企业与高等院校、科研院所建立紧密联系的研发机构，破解制约发展的难题。推进科教产融合园区建设，发挥企业家在技术创新中的重要作用，实施龙头企业培育、单项冠军培育、中小企业成长三大计划，积极引进高新技术企业，支持创新型中小微企业，推动产业链上中下游融通创新。</w:t>
      </w:r>
    </w:p>
    <w:p w14:paraId="075E7B21">
      <w:pPr>
        <w:pStyle w:val="4"/>
      </w:pPr>
      <w:bookmarkStart w:id="13" w:name="_Toc71878857"/>
      <w:r>
        <w:rPr>
          <w:rFonts w:hint="eastAsia"/>
        </w:rPr>
        <w:t>第三节 激发人才创新创造活力</w:t>
      </w:r>
      <w:bookmarkEnd w:id="13"/>
    </w:p>
    <w:p w14:paraId="28A94099">
      <w:pPr>
        <w:spacing w:line="640" w:lineRule="exact"/>
        <w:ind w:firstLine="640" w:firstLineChars="200"/>
        <w:rPr>
          <w:sz w:val="36"/>
          <w:szCs w:val="36"/>
          <w:lang w:val="zh-CN"/>
        </w:rPr>
      </w:pPr>
      <w:r>
        <w:rPr>
          <w:rFonts w:hint="eastAsia" w:ascii="仿宋_GB2312" w:hAnsi="仿宋" w:eastAsia="仿宋_GB2312"/>
          <w:sz w:val="32"/>
          <w:szCs w:val="32"/>
        </w:rPr>
        <w:t>深入实施人才强旗战略，实行更加开放的人才政策，充分挖掘用好现有人才，健全完善“达茂人才库”，在创新实践中培养和使用人才，为各类人才创新创业、实现价值提供广阔平台。切实用好达茂籍人才，发挥包头商会、达茂商会作用，为达茂旗经济社会发展提供有力支撑。推进“草原英才”计划，</w:t>
      </w:r>
      <w:r>
        <w:rPr>
          <w:rFonts w:ascii="Times New Roman" w:hAnsi="Times New Roman" w:eastAsia="仿宋_GB2312"/>
          <w:kern w:val="2"/>
          <w:sz w:val="32"/>
          <w:szCs w:val="32"/>
        </w:rPr>
        <w:t>建立紧缺人才清单制度，精准引进、梯次培养创新创业领军人才和创新团队。</w:t>
      </w:r>
      <w:r>
        <w:rPr>
          <w:rFonts w:hint="eastAsia" w:ascii="仿宋_GB2312" w:hAnsi="仿宋" w:eastAsia="仿宋_GB2312"/>
          <w:sz w:val="32"/>
          <w:szCs w:val="32"/>
        </w:rPr>
        <w:t>积极探索人才“飞地”模式，创新“候鸟型”人才引进和使用机制，多渠道多方式引进高层次人才。探索推行高层次人才年薪制、协议工资制和项目薪酬制，加快形成一支规模较大、富有创新精神、敢于担当实干的创新型人才队伍。</w:t>
      </w:r>
    </w:p>
    <w:p w14:paraId="4E5C6380">
      <w:pPr>
        <w:pStyle w:val="3"/>
      </w:pPr>
      <w:bookmarkStart w:id="14" w:name="_Toc71878858"/>
      <w:r>
        <w:rPr>
          <w:rFonts w:hint="eastAsia"/>
        </w:rPr>
        <w:t>第四章 优化布局 构筑区域发展新空间</w:t>
      </w:r>
      <w:bookmarkEnd w:id="14"/>
    </w:p>
    <w:p w14:paraId="19ABE2F0">
      <w:pPr>
        <w:widowControl w:val="0"/>
        <w:spacing w:line="640" w:lineRule="exact"/>
        <w:ind w:firstLine="640" w:firstLineChars="200"/>
        <w:rPr>
          <w:rFonts w:ascii="仿宋_GB2312" w:hAnsi="仿宋" w:eastAsia="仿宋_GB2312" w:cs="仿宋"/>
          <w:sz w:val="32"/>
          <w:szCs w:val="32"/>
        </w:rPr>
      </w:pPr>
      <w:r>
        <w:rPr>
          <w:rFonts w:hint="eastAsia" w:ascii="等线" w:hAnsi="等线" w:eastAsia="仿宋_GB2312"/>
          <w:kern w:val="2"/>
          <w:sz w:val="32"/>
        </w:rPr>
        <w:t>在资源环境承载能力、国土空间开发适宜性评价的基础上，按照“多规合一”要求，科学编制国土空间规划，最大限度保护生态环境，最大程度培植绿色优势，精准区分政策单元，逐步形成主体功能定位清晰的生态空间、农牧业空间、城镇空间三大空间格局</w:t>
      </w:r>
      <w:r>
        <w:rPr>
          <w:rFonts w:hint="eastAsia" w:ascii="仿宋_GB2312" w:hAnsi="仿宋" w:eastAsia="仿宋_GB2312" w:cs="仿宋"/>
          <w:sz w:val="32"/>
          <w:szCs w:val="32"/>
        </w:rPr>
        <w:t>。</w:t>
      </w:r>
    </w:p>
    <w:p w14:paraId="6CF2D075">
      <w:pPr>
        <w:pStyle w:val="4"/>
      </w:pPr>
      <w:bookmarkStart w:id="15" w:name="_Toc71878859"/>
      <w:r>
        <w:rPr>
          <w:rFonts w:hint="eastAsia"/>
        </w:rPr>
        <w:t>第一节 优化生态空间布局</w:t>
      </w:r>
      <w:bookmarkEnd w:id="15"/>
    </w:p>
    <w:p w14:paraId="76CEC742">
      <w:pPr>
        <w:widowControl w:val="0"/>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强化重点生态功能区域管控，着力构建以生态控制区为主体、以生态协调区为导向区域一体化的生态安全格局。重点加强生态系统的保护和恢复治理，提高生态服务功能，以突显生态安全屏障功能为基本导向，实现生态资产保值增值，持续释放生态红利。以境内自然保护区、饮用水水源地保护区、水土保持区、荒漠化控制区、边境绿化隔离带为重点，划定生态保护红线，严禁不符合主体功能定位的各类开发活动。按照山水林田湖草综合治理要求，以承担生态服务和生态系统维护功能的地域为重点，组织实施生态修复保护工程，将25度以上的坡耕地和移民迁出区耕地纳入新一轮退耕还林还草工程。草原保护区以及沿河、沿边重点区域，要依托现有植被资源，加大森林草原植被管护和封禁保护力度，落实草原生态修复措施，强化河流保护和生物多样性保护，提高水源涵养能力和生态自我修复能力，加快形成连绵分布、连接各生态控制区的生态廊道。</w:t>
      </w:r>
    </w:p>
    <w:p w14:paraId="4EC0D232">
      <w:pPr>
        <w:pStyle w:val="2"/>
        <w:ind w:firstLine="640"/>
      </w:pPr>
    </w:p>
    <w:tbl>
      <w:tblPr>
        <w:tblStyle w:val="25"/>
        <w:tblpPr w:leftFromText="180" w:rightFromText="180" w:vertAnchor="text" w:horzAnchor="page" w:tblpX="1967" w:tblpY="10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06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8522" w:type="dxa"/>
          </w:tcPr>
          <w:p w14:paraId="1109283D">
            <w:pPr>
              <w:pStyle w:val="5"/>
              <w:widowControl w:val="0"/>
              <w:spacing w:line="480" w:lineRule="exact"/>
              <w:ind w:firstLine="0" w:firstLineChars="0"/>
              <w:jc w:val="center"/>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专栏1  生态空间布局</w:t>
            </w:r>
          </w:p>
          <w:p w14:paraId="5FBCC1AC">
            <w:pPr>
              <w:widowControl w:val="0"/>
              <w:spacing w:line="48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生态控制区：由自然保护区、基本草原构成，空间上较为均衡分布在旗域范围内，是维持我旗生态系统健康的基础，重点加强生态系统的保育和恢复治理，提高生态服务功能。</w:t>
            </w:r>
          </w:p>
          <w:p w14:paraId="7DB87729">
            <w:pPr>
              <w:widowControl w:val="0"/>
              <w:spacing w:line="48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生态协调区：在我旗中部和南部地区构建2个生态协调区，即中部半农半牧生态协调区和南部丘陵生态协调区。生态协调区内以发展林下经济为主，实现生态效益。</w:t>
            </w:r>
          </w:p>
        </w:tc>
      </w:tr>
    </w:tbl>
    <w:p w14:paraId="0D08331A"/>
    <w:p w14:paraId="397A098F">
      <w:pPr>
        <w:pStyle w:val="4"/>
      </w:pPr>
      <w:bookmarkStart w:id="16" w:name="_Toc71878860"/>
      <w:r>
        <w:rPr>
          <w:rFonts w:hint="eastAsia"/>
        </w:rPr>
        <w:t>第二节 优化农牧业生产空间</w:t>
      </w:r>
      <w:bookmarkEnd w:id="16"/>
    </w:p>
    <w:p w14:paraId="229EED83">
      <w:pPr>
        <w:widowControl w:val="0"/>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统筹考虑农牧业生产和农牧区生活需要，科学划定农牧业空间。加强基本农田、基本草原保护，落实永久基本农田和草原落地到户、上图入库，落实耕地草原数量、质量、生态“三位一体”保护，严格限制与生态保护和农牧业生产生活无关的建设活动。引导农牧业资源向特色区域集中，增强农畜产品主产区生产能力，构建南农北牧“三带”布局。</w:t>
      </w:r>
    </w:p>
    <w:p w14:paraId="3AB070D6">
      <w:pPr>
        <w:pStyle w:val="2"/>
        <w:spacing w:after="0"/>
        <w:ind w:firstLine="640"/>
      </w:pPr>
    </w:p>
    <w:tbl>
      <w:tblPr>
        <w:tblStyle w:val="25"/>
        <w:tblpPr w:leftFromText="180" w:rightFromText="180" w:vertAnchor="text" w:horzAnchor="page" w:tblpX="1967" w:tblpY="10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5A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522" w:type="dxa"/>
          </w:tcPr>
          <w:p w14:paraId="18AB4FA5">
            <w:pPr>
              <w:pStyle w:val="5"/>
              <w:widowControl w:val="0"/>
              <w:spacing w:line="480" w:lineRule="exact"/>
              <w:ind w:firstLine="0" w:firstLineChars="0"/>
              <w:jc w:val="center"/>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专栏2  农牧业“三带”生产布局</w:t>
            </w:r>
          </w:p>
          <w:p w14:paraId="01A07A9A">
            <w:pPr>
              <w:widowControl w:val="0"/>
              <w:spacing w:line="480" w:lineRule="exact"/>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“三带”：北部苏木镇草原生态畜牧业发展带、中部农区乡镇节水农业和舍饲圈养发展带、南部希拉穆仁镇草原生态旅游观光带。</w:t>
            </w:r>
          </w:p>
        </w:tc>
      </w:tr>
    </w:tbl>
    <w:p w14:paraId="050D6163"/>
    <w:p w14:paraId="603781CA">
      <w:pPr>
        <w:pStyle w:val="4"/>
      </w:pPr>
      <w:bookmarkStart w:id="17" w:name="_Toc71878861"/>
      <w:r>
        <w:rPr>
          <w:rFonts w:hint="eastAsia"/>
        </w:rPr>
        <w:t>第三节 优化城镇发展空间</w:t>
      </w:r>
      <w:bookmarkEnd w:id="17"/>
    </w:p>
    <w:p w14:paraId="135B3EE6">
      <w:pPr>
        <w:widowControl w:val="0"/>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推进人口向中心镇、重点镇集中，减少人类活动对自然空间的占用。进一步优化城镇发展空间，着力打造“一核、三轴、多点”城镇发展格局。“一核”即打造百灵庙镇旗域发展核心；“三轴”即形成沿国道335、210、省道104线交通干线城镇发展轴；“多点”即重点打造石宝镇、乌克忽洞镇、希拉穆仁镇、满都拉镇等特色功能小镇，发挥区位和资源禀赋，合理布局生产力，推进人与自然和谐共生。</w:t>
      </w:r>
    </w:p>
    <w:p w14:paraId="6F3FAB35">
      <w:pPr>
        <w:pStyle w:val="2"/>
        <w:ind w:firstLine="640"/>
      </w:pPr>
    </w:p>
    <w:tbl>
      <w:tblPr>
        <w:tblStyle w:val="25"/>
        <w:tblpPr w:leftFromText="180" w:rightFromText="180" w:vertAnchor="text" w:horzAnchor="page" w:tblpX="1967" w:tblpY="10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D8F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trPr>
        <w:tc>
          <w:tcPr>
            <w:tcW w:w="8522" w:type="dxa"/>
          </w:tcPr>
          <w:p w14:paraId="775762E7">
            <w:pPr>
              <w:pStyle w:val="5"/>
              <w:widowControl w:val="0"/>
              <w:spacing w:before="240"/>
              <w:ind w:firstLine="0" w:firstLineChars="0"/>
              <w:jc w:val="center"/>
              <w:outlineLvl w:val="2"/>
              <w:rPr>
                <w:rFonts w:asciiTheme="majorEastAsia" w:hAnsiTheme="majorEastAsia" w:eastAsiaTheme="majorEastAsia" w:cstheme="minorEastAsia"/>
                <w:sz w:val="24"/>
                <w:szCs w:val="24"/>
              </w:rPr>
            </w:pPr>
            <w:r>
              <w:rPr>
                <w:rFonts w:hint="eastAsia" w:asciiTheme="majorEastAsia" w:hAnsiTheme="majorEastAsia" w:eastAsiaTheme="majorEastAsia" w:cstheme="minorEastAsia"/>
                <w:sz w:val="24"/>
                <w:szCs w:val="24"/>
              </w:rPr>
              <w:t>专栏3  城镇发展功能定位</w:t>
            </w:r>
          </w:p>
          <w:p w14:paraId="449DE672">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百灵庙镇：突出全旗政治经济文化中心；</w:t>
            </w:r>
          </w:p>
          <w:p w14:paraId="6E88E436">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石宝镇：强化工矿服务，注重资源枯竭后转型发展；</w:t>
            </w:r>
          </w:p>
          <w:p w14:paraId="7366549A">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希拉穆仁镇：重点建设草原风情旅游型城镇，大力发展旅游业；</w:t>
            </w:r>
          </w:p>
          <w:p w14:paraId="1FAA2DE7">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巴音敖包苏木：重点发展交通物流、文化古迹、草原风光、现代风电；</w:t>
            </w:r>
          </w:p>
          <w:p w14:paraId="09F2165D">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明安镇：建设工矿服务和草原文化旅游型城镇；</w:t>
            </w:r>
          </w:p>
          <w:p w14:paraId="25A3538D">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达尔汗苏木：建设现代牧业和草原文化及宗教文化旅游型城镇；</w:t>
            </w:r>
          </w:p>
          <w:p w14:paraId="1710C7A3">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乌克忽洞镇、小文公乡、西河乡：稳步发展现代农业；</w:t>
            </w:r>
          </w:p>
          <w:p w14:paraId="3F2C80C8">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满都拉镇：大力发展口岸经济；</w:t>
            </w:r>
          </w:p>
          <w:p w14:paraId="7013C7AD">
            <w:pPr>
              <w:widowControl w:val="0"/>
              <w:spacing w:line="360" w:lineRule="auto"/>
              <w:ind w:firstLine="240" w:firstLineChars="1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巴音花镇：建设现代农牧业城镇；</w:t>
            </w:r>
          </w:p>
          <w:p w14:paraId="4C20432B">
            <w:pPr>
              <w:widowControl w:val="0"/>
              <w:spacing w:line="360" w:lineRule="auto"/>
              <w:ind w:firstLine="240" w:firstLineChars="100"/>
              <w:jc w:val="both"/>
            </w:pPr>
            <w:r>
              <w:rPr>
                <w:rFonts w:hint="eastAsia" w:asciiTheme="minorEastAsia" w:hAnsiTheme="minorEastAsia" w:eastAsiaTheme="minorEastAsia" w:cstheme="minorEastAsia"/>
                <w:bCs/>
                <w:sz w:val="24"/>
                <w:szCs w:val="24"/>
              </w:rPr>
              <w:t>查干哈达苏木：重点发展生态畜牧业。</w:t>
            </w:r>
          </w:p>
        </w:tc>
      </w:tr>
    </w:tbl>
    <w:p w14:paraId="6C8518B4"/>
    <w:p w14:paraId="17E83D1C">
      <w:pPr>
        <w:pStyle w:val="4"/>
      </w:pPr>
      <w:bookmarkStart w:id="18" w:name="_Toc71878862"/>
      <w:r>
        <w:rPr>
          <w:rFonts w:hint="eastAsia"/>
        </w:rPr>
        <w:t>第四节 优化产业布局</w:t>
      </w:r>
      <w:bookmarkEnd w:id="18"/>
    </w:p>
    <w:p w14:paraId="0EDEB9F0">
      <w:pPr>
        <w:widowControl w:val="0"/>
        <w:spacing w:line="640" w:lineRule="exact"/>
        <w:ind w:firstLine="640" w:firstLineChars="200"/>
        <w:rPr>
          <w:sz w:val="36"/>
          <w:szCs w:val="36"/>
          <w:lang w:val="zh-CN"/>
        </w:rPr>
      </w:pPr>
      <w:r>
        <w:rPr>
          <w:rFonts w:hint="eastAsia" w:ascii="仿宋_GB2312" w:hAnsi="仿宋" w:eastAsia="仿宋_GB2312" w:cs="仿宋"/>
          <w:sz w:val="32"/>
          <w:szCs w:val="32"/>
        </w:rPr>
        <w:t>坚持工业向园区集中集聚，进一步优化“一区三园”产业布局。根据巴润钢铁稀土原料加工园、新型工业园、巴音花煤电用产业园的功能定位，进一步发挥特色优势，做强做大现有的企业，配套引进相关产业，形成各具特色、错位发展的产业格局。充分发挥我旗资源丰富、园区发展空间和环境容量大的比较优势，大力发展“飞地经济”，实现与发达地区及呼包鄂榆地区工业园区优势互补、互利共赢。同时，推动石宝产业聚集区承接钢铁产业，百灵庙产业聚集区承接大数据、现代装备制造产业，百灵机场发展通航产业。根据各苏木乡镇功能定位，加强商贸流通、口岸贸易等服务业发展。</w:t>
      </w:r>
    </w:p>
    <w:p w14:paraId="50AE8CC3">
      <w:pPr>
        <w:pStyle w:val="3"/>
      </w:pPr>
      <w:bookmarkStart w:id="19" w:name="_Toc71878863"/>
      <w:bookmarkStart w:id="20" w:name="_Toc64924550"/>
      <w:r>
        <w:rPr>
          <w:rFonts w:hint="eastAsia"/>
        </w:rPr>
        <w:t>第五章 提质增效 加快发展现代农牧业</w:t>
      </w:r>
      <w:bookmarkEnd w:id="19"/>
      <w:bookmarkEnd w:id="20"/>
    </w:p>
    <w:p w14:paraId="4D6AB83F">
      <w:pPr>
        <w:spacing w:line="640" w:lineRule="exact"/>
        <w:ind w:firstLine="640" w:firstLineChars="200"/>
        <w:rPr>
          <w:rFonts w:ascii="仿宋_GB2312" w:eastAsia="仿宋_GB2312"/>
        </w:rPr>
      </w:pPr>
      <w:r>
        <w:rPr>
          <w:rFonts w:hint="eastAsia" w:ascii="仿宋_GB2312" w:hAnsi="仿宋" w:eastAsia="仿宋_GB2312" w:cs="仿宋"/>
          <w:sz w:val="32"/>
          <w:szCs w:val="32"/>
        </w:rPr>
        <w:t>坚持绿色兴农兴牧，深入推进农牧业供给侧结构性改革，走绿色化、产业化、品牌化的高质量发展路子。实施现代农牧业提升工程，</w:t>
      </w:r>
      <w:r>
        <w:rPr>
          <w:rFonts w:hint="eastAsia" w:ascii="仿宋_GB2312" w:hAnsi="仿宋" w:eastAsia="仿宋_GB2312"/>
          <w:sz w:val="32"/>
          <w:szCs w:val="32"/>
          <w:lang w:val="zh-CN"/>
        </w:rPr>
        <w:t>调整优化农牧业布局和结构，加快转变生产经营方式，培育农牧业新业态，增加优质绿色农畜产品供给，提高农牧业质量效益和竞争力，不断完善现代农牧业产业体系。</w:t>
      </w:r>
    </w:p>
    <w:p w14:paraId="6A662A6F">
      <w:pPr>
        <w:pStyle w:val="4"/>
      </w:pPr>
      <w:bookmarkStart w:id="21" w:name="_Toc64924551"/>
      <w:bookmarkStart w:id="22" w:name="_Toc71878864"/>
      <w:r>
        <w:rPr>
          <w:rFonts w:hint="eastAsia"/>
        </w:rPr>
        <w:t>第一节 提高农牧业生产力和竞争力</w:t>
      </w:r>
      <w:bookmarkEnd w:id="21"/>
      <w:bookmarkEnd w:id="22"/>
    </w:p>
    <w:p w14:paraId="76ABDD24">
      <w:pPr>
        <w:spacing w:line="640" w:lineRule="exact"/>
        <w:ind w:firstLine="640" w:firstLineChars="200"/>
        <w:rPr>
          <w:rFonts w:ascii="仿宋_GB2312" w:hAnsi="仿宋" w:eastAsia="仿宋_GB2312" w:cs="仿宋"/>
          <w:sz w:val="32"/>
          <w:szCs w:val="32"/>
        </w:rPr>
      </w:pPr>
      <w:r>
        <w:rPr>
          <w:rFonts w:hint="eastAsia" w:ascii="Times New Roman" w:hAnsi="Times New Roman" w:eastAsia="仿宋_GB2312"/>
          <w:kern w:val="2"/>
          <w:sz w:val="32"/>
          <w:szCs w:val="20"/>
        </w:rPr>
        <w:t>坚持“农牧结合、为养而种”“种养结合、以种促养”，</w:t>
      </w:r>
      <w:r>
        <w:rPr>
          <w:rFonts w:ascii="Times New Roman" w:hAnsi="Times New Roman" w:eastAsia="仿宋_GB2312"/>
          <w:kern w:val="2"/>
          <w:sz w:val="32"/>
          <w:szCs w:val="20"/>
        </w:rPr>
        <w:t>大力发展绿色农牧业、设施农牧业</w:t>
      </w:r>
      <w:r>
        <w:rPr>
          <w:rFonts w:hint="eastAsia" w:ascii="Times New Roman" w:hAnsi="Times New Roman" w:eastAsia="仿宋_GB2312"/>
          <w:kern w:val="2"/>
          <w:sz w:val="32"/>
          <w:szCs w:val="20"/>
        </w:rPr>
        <w:t>和</w:t>
      </w:r>
      <w:r>
        <w:rPr>
          <w:rFonts w:ascii="Times New Roman" w:hAnsi="Times New Roman" w:eastAsia="仿宋_GB2312"/>
          <w:kern w:val="2"/>
          <w:sz w:val="32"/>
          <w:szCs w:val="20"/>
        </w:rPr>
        <w:t>节水农牧业，</w:t>
      </w:r>
      <w:r>
        <w:rPr>
          <w:rFonts w:hint="eastAsia" w:ascii="Times New Roman" w:hAnsi="Times New Roman" w:eastAsia="仿宋_GB2312"/>
          <w:kern w:val="2"/>
          <w:sz w:val="32"/>
          <w:szCs w:val="20"/>
        </w:rPr>
        <w:t>提高农牧业产业化、规模化和市场化水平，</w:t>
      </w:r>
      <w:r>
        <w:rPr>
          <w:rFonts w:hint="eastAsia" w:ascii="仿宋_GB2312" w:hAnsi="仿宋" w:eastAsia="仿宋_GB2312" w:cs="仿宋"/>
          <w:sz w:val="32"/>
          <w:szCs w:val="32"/>
        </w:rPr>
        <w:t>推动农牧业由增产转向提质，实现传统农牧业向现代农牧业转变。</w:t>
      </w:r>
    </w:p>
    <w:p w14:paraId="5F0A0F2C">
      <w:pPr>
        <w:spacing w:line="640" w:lineRule="exact"/>
        <w:ind w:firstLine="643" w:firstLineChars="200"/>
        <w:rPr>
          <w:rFonts w:ascii="仿宋" w:hAnsi="仿宋" w:eastAsia="仿宋" w:cs="仿宋"/>
          <w:sz w:val="32"/>
          <w:szCs w:val="32"/>
        </w:rPr>
      </w:pPr>
      <w:r>
        <w:rPr>
          <w:rFonts w:hint="eastAsia" w:ascii="楷体_GB2312" w:hAnsi="楷体" w:eastAsia="楷体_GB2312" w:cs="楷体"/>
          <w:b/>
          <w:kern w:val="2"/>
          <w:sz w:val="32"/>
          <w:szCs w:val="32"/>
        </w:rPr>
        <w:t>提高现代畜牧业生产力。</w:t>
      </w:r>
      <w:r>
        <w:rPr>
          <w:rFonts w:ascii="Times New Roman" w:hAnsi="Times New Roman" w:eastAsia="仿宋_GB2312"/>
          <w:color w:val="000000"/>
          <w:kern w:val="2"/>
          <w:sz w:val="32"/>
          <w:szCs w:val="32"/>
        </w:rPr>
        <w:t>畜牧业走生态与效益并重的路子，</w:t>
      </w:r>
      <w:r>
        <w:rPr>
          <w:rFonts w:hint="eastAsia" w:ascii="仿宋_GB2312" w:hAnsi="Times New Roman" w:eastAsia="仿宋_GB2312"/>
          <w:color w:val="000000"/>
          <w:kern w:val="2"/>
          <w:sz w:val="32"/>
          <w:szCs w:val="32"/>
        </w:rPr>
        <w:t>推进肉牛、肉羊特色养殖，</w:t>
      </w:r>
      <w:r>
        <w:rPr>
          <w:rFonts w:hint="eastAsia" w:ascii="仿宋_GB2312" w:hAnsi="仿宋" w:eastAsia="仿宋_GB2312"/>
          <w:sz w:val="32"/>
          <w:szCs w:val="32"/>
        </w:rPr>
        <w:t>加快推进标准化、规模化养殖场建设，打造肉羊肉牛产业示范园区。北部牧区以推广草原戈壁短尾羊为主，通过以家庭牧场为试点示范开展选种选育、提纯复壮工程，打造地方特色肉羊品牌。中部以养殖商品肉羊为主，南部农区以发展高效舍饲肉羊为主，肉羊基础母羊牧业年度存栏达到75万只以上，年出栏达到130万只以上，实现四季均衡出栏。在23个产业园区及农区乡镇引进发展奶绵（山）羊，到2025年，奶绵（山）羊数量达到10万只以上。</w:t>
      </w:r>
      <w:r>
        <w:rPr>
          <w:rFonts w:hint="eastAsia" w:ascii="仿宋_GB2312" w:hAnsi="仿宋" w:eastAsia="仿宋_GB2312"/>
          <w:spacing w:val="-4"/>
          <w:sz w:val="32"/>
          <w:szCs w:val="32"/>
        </w:rPr>
        <w:t>鼓励龙头企业、合作组织</w:t>
      </w:r>
      <w:r>
        <w:rPr>
          <w:rFonts w:hint="eastAsia" w:ascii="仿宋_GB2312" w:hAnsi="仿宋" w:eastAsia="仿宋_GB2312" w:cs="仿宋_GB2312"/>
          <w:sz w:val="32"/>
          <w:szCs w:val="32"/>
        </w:rPr>
        <w:t>开展肉牛规模化标准化养殖，</w:t>
      </w:r>
      <w:r>
        <w:rPr>
          <w:rFonts w:hint="eastAsia" w:ascii="仿宋_GB2312" w:hAnsi="仿宋" w:eastAsia="仿宋_GB2312"/>
          <w:spacing w:val="-4"/>
          <w:sz w:val="32"/>
          <w:szCs w:val="32"/>
        </w:rPr>
        <w:t>全面实现产业化经营、企业化运营。</w:t>
      </w:r>
      <w:r>
        <w:rPr>
          <w:rFonts w:hint="eastAsia" w:ascii="仿宋_GB2312" w:hAnsi="Times New Roman" w:eastAsia="仿宋_GB2312"/>
          <w:color w:val="000000"/>
          <w:kern w:val="2"/>
          <w:sz w:val="32"/>
          <w:szCs w:val="32"/>
        </w:rPr>
        <w:t>建成万只肉羊、千头肉牛标准化规模化养殖基地10个以上，年出栏稳定在肉羊100万只、肉牛10万头以上。加快发展农畜食品加工业，全面完善提升黄花滩绿色食品加工园，入驻企业达到20家。</w:t>
      </w:r>
      <w:r>
        <w:rPr>
          <w:rFonts w:hint="eastAsia" w:ascii="仿宋_GB2312" w:hAnsi="仿宋" w:eastAsia="仿宋_GB2312" w:cs="仿宋"/>
          <w:sz w:val="32"/>
          <w:szCs w:val="32"/>
        </w:rPr>
        <w:t>发展壮大生猪产业，引进建设万头生猪标准化养殖场2处。</w:t>
      </w:r>
      <w:r>
        <w:rPr>
          <w:rFonts w:hint="eastAsia" w:ascii="仿宋_GB2312" w:hAnsi="仿宋" w:eastAsia="仿宋_GB2312"/>
          <w:sz w:val="32"/>
          <w:szCs w:val="32"/>
        </w:rPr>
        <w:t>打造“公司+合作组织+基地+农牧户”的产业发展模式，鼓励畜产品加工龙头企业与养殖基地组建产业联合体，发展农畜产品精深加工业。</w:t>
      </w:r>
    </w:p>
    <w:p w14:paraId="7B68CC32">
      <w:pPr>
        <w:pStyle w:val="23"/>
        <w:spacing w:line="640" w:lineRule="exact"/>
        <w:ind w:firstLine="643"/>
        <w:jc w:val="both"/>
        <w:rPr>
          <w:rFonts w:ascii="仿宋_GB2312" w:hAnsi="仿宋" w:eastAsia="仿宋_GB2312" w:cs="仿宋"/>
        </w:rPr>
      </w:pPr>
      <w:r>
        <w:rPr>
          <w:rFonts w:ascii="Times New Roman" w:hAnsi="Times New Roman" w:eastAsia="仿宋_GB2312"/>
          <w:b/>
          <w:bCs/>
          <w:color w:val="000000"/>
          <w:kern w:val="2"/>
        </w:rPr>
        <w:t>加快农牧业规模化、</w:t>
      </w:r>
      <w:r>
        <w:rPr>
          <w:rFonts w:ascii="Times New Roman" w:hAnsi="Times New Roman" w:eastAsia="仿宋_GB2312"/>
          <w:b/>
          <w:bCs/>
          <w:kern w:val="2"/>
        </w:rPr>
        <w:t>标准化</w:t>
      </w:r>
      <w:r>
        <w:rPr>
          <w:rFonts w:ascii="Times New Roman" w:hAnsi="Times New Roman" w:eastAsia="仿宋_GB2312"/>
          <w:b/>
          <w:bCs/>
          <w:color w:val="000000"/>
          <w:kern w:val="2"/>
        </w:rPr>
        <w:t>。</w:t>
      </w:r>
      <w:r>
        <w:rPr>
          <w:rFonts w:hint="eastAsia" w:ascii="仿宋_GB2312" w:hAnsi="仿宋" w:eastAsia="仿宋_GB2312"/>
        </w:rPr>
        <w:t>落实粮食安全生产旗县长责任制，落实最严格的耕地保护制度，稳定粮食播种面积，提高单产水平。深入落实藏粮于地、藏粮于技战略，实施高标准农田建设项目，推广旱作农业技术，</w:t>
      </w:r>
      <w:r>
        <w:rPr>
          <w:rFonts w:hint="eastAsia" w:ascii="仿宋_GB2312" w:hAnsi="仿宋" w:eastAsia="仿宋_GB2312" w:cs="仿宋"/>
        </w:rPr>
        <w:t>推进“增经优粮”战略，</w:t>
      </w:r>
      <w:r>
        <w:rPr>
          <w:rFonts w:hint="eastAsia" w:ascii="仿宋_GB2312" w:hAnsi="仿宋" w:eastAsia="仿宋_GB2312"/>
        </w:rPr>
        <w:t>巩固和提高粮食综合生产能力和有效供给能力。</w:t>
      </w:r>
      <w:r>
        <w:rPr>
          <w:rFonts w:hint="eastAsia" w:ascii="仿宋_GB2312" w:hAnsi="仿宋" w:eastAsia="仿宋_GB2312" w:cs="仿宋"/>
        </w:rPr>
        <w:t>实施黄芪育种提升工程，培育壮大黄芪种植产业；发展</w:t>
      </w:r>
      <w:r>
        <w:rPr>
          <w:rFonts w:hint="eastAsia" w:ascii="仿宋_GB2312" w:eastAsia="仿宋_GB2312"/>
        </w:rPr>
        <w:t>藜麦、</w:t>
      </w:r>
      <w:r>
        <w:rPr>
          <w:rFonts w:hint="eastAsia" w:ascii="仿宋_GB2312" w:hAnsi="仿宋" w:eastAsia="仿宋_GB2312" w:cs="仿宋"/>
        </w:rPr>
        <w:t>绿头蒜等特色种植业；适度扩大红皮小麦、荞麦、莜麦等杂粮种植面积</w:t>
      </w:r>
      <w:r>
        <w:rPr>
          <w:rFonts w:hint="eastAsia" w:ascii="仿宋_GB2312" w:hAnsi="仿宋" w:eastAsia="仿宋_GB2312"/>
        </w:rPr>
        <w:t>，稳定露地蔬菜种植面积；因地制宜发展草莓、花卉等设施农业。持续改进马铃薯、玉米、葵花等粮食作物品种。推进化肥农药减量增效，发展绿色农产品、有机农产品、地理标志农产品，创建国家农产品质量安全旗。</w:t>
      </w:r>
      <w:r>
        <w:rPr>
          <w:rFonts w:ascii="Times New Roman" w:hAnsi="Times New Roman" w:eastAsia="仿宋_GB2312"/>
          <w:color w:val="000000"/>
          <w:kern w:val="2"/>
        </w:rPr>
        <w:t>农业走“粮经饲”并重的路子，推进马铃薯、小杂粮、中药材、饲草料特色种植</w:t>
      </w:r>
      <w:r>
        <w:rPr>
          <w:rFonts w:hint="eastAsia" w:ascii="仿宋_GB2312" w:hAnsi="Times New Roman" w:eastAsia="仿宋_GB2312"/>
          <w:color w:val="000000"/>
          <w:kern w:val="2"/>
        </w:rPr>
        <w:t>，打造1000亩以上集中连片种植区40处，高标准农田规模达到15万亩，绿色有机种植面积达到20万亩。</w:t>
      </w:r>
      <w:r>
        <w:rPr>
          <w:rFonts w:hint="eastAsia" w:ascii="仿宋_GB2312" w:hAnsi="仿宋" w:eastAsia="仿宋_GB2312" w:cs="仿宋"/>
        </w:rPr>
        <w:t>引进和培育农牧业龙头企业，</w:t>
      </w:r>
      <w:r>
        <w:rPr>
          <w:rFonts w:hint="eastAsia" w:ascii="仿宋_GB2312" w:hAnsi="仿宋" w:eastAsia="仿宋_GB2312"/>
        </w:rPr>
        <w:t>积极推行“土地托管+订单销售”，</w:t>
      </w:r>
      <w:r>
        <w:rPr>
          <w:rFonts w:hint="eastAsia" w:ascii="仿宋_GB2312" w:hAnsi="仿宋" w:eastAsia="仿宋_GB2312" w:cs="仿宋"/>
        </w:rPr>
        <w:t>支持和鼓励种植大户通过土地流转、联耕联种等多种经营方式，提升农业规模化经营水平。</w:t>
      </w:r>
    </w:p>
    <w:p w14:paraId="63EB56AD">
      <w:pPr>
        <w:pStyle w:val="23"/>
        <w:spacing w:line="240" w:lineRule="auto"/>
        <w:ind w:firstLine="400"/>
        <w:jc w:val="both"/>
        <w:rPr>
          <w:rFonts w:ascii="仿宋_GB2312" w:hAnsi="仿宋" w:eastAsia="仿宋_GB2312" w:cs="仿宋"/>
          <w:sz w:val="20"/>
          <w:szCs w:val="20"/>
        </w:rPr>
      </w:pPr>
    </w:p>
    <w:tbl>
      <w:tblPr>
        <w:tblStyle w:val="25"/>
        <w:tblpPr w:leftFromText="180" w:rightFromText="180" w:vertAnchor="text" w:horzAnchor="margin" w:tblpY="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7C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522" w:type="dxa"/>
          </w:tcPr>
          <w:p w14:paraId="0BC867E2">
            <w:pPr>
              <w:pStyle w:val="5"/>
              <w:widowControl w:val="0"/>
              <w:spacing w:before="240"/>
              <w:ind w:firstLine="0" w:firstLineChars="0"/>
              <w:jc w:val="center"/>
              <w:outlineLvl w:val="2"/>
              <w:rPr>
                <w:rFonts w:asciiTheme="majorEastAsia" w:hAnsiTheme="majorEastAsia" w:eastAsiaTheme="majorEastAsia"/>
                <w:sz w:val="24"/>
                <w:szCs w:val="28"/>
              </w:rPr>
            </w:pPr>
            <w:r>
              <w:rPr>
                <w:rFonts w:hint="eastAsia" w:asciiTheme="majorEastAsia" w:hAnsiTheme="majorEastAsia" w:eastAsiaTheme="majorEastAsia"/>
                <w:sz w:val="24"/>
                <w:szCs w:val="28"/>
              </w:rPr>
              <w:t>专栏4 现代农牧业建设</w:t>
            </w:r>
          </w:p>
          <w:p w14:paraId="328872C7">
            <w:pPr>
              <w:widowControl w:val="0"/>
              <w:spacing w:line="360" w:lineRule="auto"/>
              <w:ind w:firstLine="480" w:firstLineChars="200"/>
              <w:jc w:val="both"/>
              <w:rPr>
                <w:sz w:val="24"/>
                <w:szCs w:val="24"/>
              </w:rPr>
            </w:pPr>
            <w:r>
              <w:rPr>
                <w:rFonts w:hint="eastAsia"/>
                <w:sz w:val="24"/>
                <w:szCs w:val="24"/>
              </w:rPr>
              <w:t>特色种植业项目、有机农产品种植项目、黄芪育种提升工程项目、套马沟产业融合示范园区、旱作节水农业建设项目、高标准农田建设项目、肉牛肉羊养殖基地项目、生猪养殖项目、马产业项目、“互联网＋”农产品销售项目等。</w:t>
            </w:r>
          </w:p>
        </w:tc>
      </w:tr>
    </w:tbl>
    <w:p w14:paraId="65392F59">
      <w:pPr>
        <w:pStyle w:val="23"/>
        <w:spacing w:line="240" w:lineRule="auto"/>
        <w:ind w:firstLine="442"/>
        <w:rPr>
          <w:rFonts w:ascii="楷体_GB2312" w:hAnsi="楷体" w:eastAsia="楷体_GB2312" w:cs="楷体"/>
          <w:b/>
          <w:kern w:val="2"/>
          <w:sz w:val="22"/>
        </w:rPr>
      </w:pPr>
    </w:p>
    <w:p w14:paraId="5BFA67CB">
      <w:pPr>
        <w:spacing w:line="640" w:lineRule="exact"/>
        <w:ind w:firstLine="643" w:firstLineChars="200"/>
        <w:rPr>
          <w:rFonts w:ascii="仿宋_GB2312" w:hAnsi="仿宋" w:eastAsia="仿宋_GB2312" w:cs="仿宋"/>
          <w:sz w:val="32"/>
          <w:szCs w:val="32"/>
        </w:rPr>
      </w:pPr>
      <w:r>
        <w:rPr>
          <w:rFonts w:hint="eastAsia" w:ascii="楷体_GB2312" w:hAnsi="楷体" w:eastAsia="楷体_GB2312" w:cs="楷体"/>
          <w:b/>
          <w:kern w:val="2"/>
          <w:sz w:val="32"/>
          <w:szCs w:val="32"/>
        </w:rPr>
        <w:t>大力发展饲草料产业。</w:t>
      </w:r>
      <w:r>
        <w:rPr>
          <w:rFonts w:hint="eastAsia" w:ascii="仿宋_GB2312" w:hAnsi="仿宋" w:eastAsia="仿宋_GB2312" w:cs="仿宋"/>
          <w:sz w:val="32"/>
          <w:szCs w:val="32"/>
        </w:rPr>
        <w:t>充分利用已划定的饲草料基地，推进优质高产牧草人工种植与加工，为舍饲畜牧业发展提供饲草料支撑。有效利用当地储量丰厚的柠条、秸秆、淀粉渣，进行饲料开发加工和肥料生产。对现有人工种植林地实施密植工程，在增加生态效益的同时，为柠条等深加工产业奠定基础。全面实施秸秆综合利用和农膜农药包装物回收行动，建设集饲草储存、生产、加工、运输为一体的大型饲草料储备基地。</w:t>
      </w:r>
    </w:p>
    <w:p w14:paraId="5E89676E">
      <w:pPr>
        <w:pStyle w:val="2"/>
        <w:spacing w:after="0" w:line="640" w:lineRule="exact"/>
        <w:rPr>
          <w:rFonts w:ascii="仿宋_GB2312" w:hAnsi="仿宋" w:eastAsia="仿宋_GB2312" w:cs="仿宋"/>
          <w:color w:val="FF0000"/>
          <w:szCs w:val="32"/>
        </w:rPr>
      </w:pPr>
      <w:r>
        <w:rPr>
          <w:rFonts w:hint="eastAsia" w:ascii="仿宋_GB2312" w:hAnsi="仿宋" w:eastAsia="仿宋_GB2312" w:cs="仿宋"/>
          <w:b/>
          <w:bCs/>
          <w:szCs w:val="32"/>
        </w:rPr>
        <w:t>构建现代乡村产业体系。</w:t>
      </w:r>
      <w:r>
        <w:rPr>
          <w:rFonts w:hint="eastAsia" w:ascii="仿宋_GB2312" w:hAnsi="仿宋" w:eastAsia="仿宋_GB2312" w:cs="仿宋"/>
          <w:szCs w:val="32"/>
        </w:rPr>
        <w:t>打造农牧业全产业链，让农牧民更多分享产业增值收益。发展特色农畜产品初加工和精深加工，建设现代农牧业产业园、农牧业强镇、优势特色产业集群。开发休闲农牧业与乡村旅游结合的精品线路。实施万企兴万村行动，创建农牧业现代化示范区。</w:t>
      </w:r>
    </w:p>
    <w:p w14:paraId="627F8957">
      <w:pPr>
        <w:pStyle w:val="4"/>
      </w:pPr>
      <w:bookmarkStart w:id="23" w:name="_Toc71878865"/>
      <w:bookmarkStart w:id="24" w:name="_Toc64924552"/>
      <w:r>
        <w:rPr>
          <w:rFonts w:hint="eastAsia"/>
        </w:rPr>
        <w:t>第二节 强化农牧业支撑体系</w:t>
      </w:r>
      <w:bookmarkEnd w:id="23"/>
      <w:bookmarkEnd w:id="24"/>
    </w:p>
    <w:p w14:paraId="21EFCA10">
      <w:pPr>
        <w:spacing w:line="640" w:lineRule="exact"/>
        <w:ind w:firstLine="643" w:firstLineChars="200"/>
        <w:rPr>
          <w:rFonts w:ascii="仿宋" w:hAnsi="仿宋" w:eastAsia="仿宋" w:cs="仿宋"/>
          <w:sz w:val="32"/>
          <w:szCs w:val="32"/>
        </w:rPr>
      </w:pPr>
      <w:r>
        <w:rPr>
          <w:rFonts w:hint="eastAsia" w:ascii="仿宋_GB2312" w:hAnsi="楷体" w:eastAsia="仿宋_GB2312" w:cs="楷体"/>
          <w:b/>
          <w:kern w:val="2"/>
          <w:sz w:val="32"/>
          <w:szCs w:val="32"/>
        </w:rPr>
        <w:t>推进农牧业经营主体新型化。</w:t>
      </w:r>
      <w:r>
        <w:rPr>
          <w:rFonts w:hint="eastAsia" w:ascii="仿宋_GB2312" w:hAnsi="仿宋" w:eastAsia="仿宋_GB2312" w:cs="仿宋"/>
          <w:sz w:val="32"/>
          <w:szCs w:val="32"/>
        </w:rPr>
        <w:t>加快培育农牧业合作社、家庭农牧场等新型农牧业经营主体，规范提升农牧业合作社发展质量，创建示范家庭农牧场，培育利益联结紧密、带农带牧作用突出、综合竞争力强的农牧业产业化联合体。实施新生代农牧民职业技能提升计划，开展农牧业经理人培养、农牧业经营主体带头人轮训、农村牧区实用人才带头人培训，培育新型职业农牧民。</w:t>
      </w:r>
    </w:p>
    <w:p w14:paraId="3A5FEE32">
      <w:pPr>
        <w:spacing w:line="640" w:lineRule="exact"/>
        <w:ind w:firstLine="643" w:firstLineChars="200"/>
        <w:rPr>
          <w:rFonts w:ascii="仿宋_GB2312" w:hAnsi="仿宋" w:eastAsia="仿宋_GB2312" w:cs="仿宋"/>
          <w:sz w:val="32"/>
          <w:szCs w:val="32"/>
        </w:rPr>
      </w:pPr>
      <w:r>
        <w:rPr>
          <w:rFonts w:hint="eastAsia" w:ascii="仿宋_GB2312" w:hAnsi="楷体" w:eastAsia="仿宋_GB2312" w:cs="楷体"/>
          <w:b/>
          <w:kern w:val="2"/>
          <w:sz w:val="32"/>
          <w:szCs w:val="32"/>
        </w:rPr>
        <w:t>健全专业化社会化服务体系。</w:t>
      </w:r>
      <w:r>
        <w:rPr>
          <w:rFonts w:hint="eastAsia" w:ascii="仿宋_GB2312" w:hAnsi="仿宋" w:eastAsia="仿宋_GB2312" w:cs="仿宋"/>
          <w:sz w:val="32"/>
          <w:szCs w:val="32"/>
        </w:rPr>
        <w:t>构建以政府公共服务机构为主导、多种市场主体广泛参与、公益性和经营性相结合、功能完善、运转有力的社会化服务体系。围绕农牧民生产需求，建立以农技推广站、专业合作社、技术服务队、经营服务企业为主体的现代农牧业服务组织，开展农技推广、动植物疫病防控、农资经销及农产品加工、销售、信息、金融、物流等服务。</w:t>
      </w:r>
    </w:p>
    <w:p w14:paraId="744ABD1F">
      <w:pPr>
        <w:spacing w:line="640" w:lineRule="exact"/>
        <w:ind w:firstLine="643" w:firstLineChars="200"/>
        <w:rPr>
          <w:sz w:val="36"/>
          <w:szCs w:val="36"/>
          <w:lang w:val="zh-CN"/>
        </w:rPr>
      </w:pPr>
      <w:r>
        <w:rPr>
          <w:rFonts w:hint="eastAsia" w:ascii="仿宋_GB2312" w:hAnsi="楷体" w:eastAsia="仿宋_GB2312" w:cs="楷体"/>
          <w:b/>
          <w:kern w:val="2"/>
          <w:sz w:val="32"/>
          <w:szCs w:val="32"/>
        </w:rPr>
        <w:t>完善农畜产品质量安全体系。</w:t>
      </w:r>
      <w:r>
        <w:rPr>
          <w:rFonts w:hint="eastAsia" w:ascii="仿宋_GB2312" w:hAnsi="仿宋" w:eastAsia="仿宋_GB2312" w:cs="仿宋"/>
          <w:sz w:val="32"/>
          <w:szCs w:val="32"/>
        </w:rPr>
        <w:t>建立监管名录和“黑名单”制度，全面监管农畜产品生产销售企业、农牧民专业合作经济组织、畜禽屠宰企业、收购储运企业、经纪人和农畜产品销售等生产经营主体。完善农畜产品追溯信息平台功能，积极推进可视农牧业，构建“农牧业技术推广+动植物疫病防控+农畜产品质量安全监管”三位一体的监管服务体系，使农畜产品质量安全监控贯穿于产前、产中、产后全过程。建设农畜产品质量安全追溯大厅，设立苏木乡镇监管示范站及追溯点。“十四五”期间，常态化实施定量监测农畜产品、速测筛查样品行动，主要农畜产品例行抽检率保持在98%以上。</w:t>
      </w:r>
    </w:p>
    <w:p w14:paraId="5D84B2A0">
      <w:pPr>
        <w:pStyle w:val="4"/>
      </w:pPr>
      <w:bookmarkStart w:id="25" w:name="_Toc64924553"/>
      <w:bookmarkStart w:id="26" w:name="_Toc71878866"/>
      <w:r>
        <w:rPr>
          <w:rFonts w:hint="eastAsia"/>
        </w:rPr>
        <w:t>第三节 实施品牌战略</w:t>
      </w:r>
      <w:bookmarkEnd w:id="25"/>
      <w:bookmarkEnd w:id="26"/>
    </w:p>
    <w:p w14:paraId="63C87983">
      <w:pPr>
        <w:spacing w:line="640" w:lineRule="exact"/>
        <w:ind w:firstLine="643" w:firstLineChars="200"/>
        <w:jc w:val="both"/>
        <w:rPr>
          <w:rFonts w:ascii="Times New Roman" w:hAnsi="Times New Roman" w:eastAsia="仿宋_GB2312"/>
          <w:color w:val="000000"/>
          <w:kern w:val="2"/>
          <w:sz w:val="32"/>
          <w:szCs w:val="32"/>
        </w:rPr>
      </w:pPr>
      <w:r>
        <w:rPr>
          <w:rFonts w:ascii="Times New Roman" w:hAnsi="Times New Roman" w:eastAsia="仿宋_GB2312"/>
          <w:b/>
          <w:bCs/>
          <w:color w:val="000000"/>
          <w:kern w:val="2"/>
          <w:sz w:val="32"/>
          <w:szCs w:val="32"/>
        </w:rPr>
        <w:t>加快农畜产品品牌化。</w:t>
      </w:r>
      <w:r>
        <w:rPr>
          <w:rFonts w:hint="eastAsia" w:ascii="仿宋_GB2312" w:hAnsi="Times New Roman" w:eastAsia="仿宋_GB2312"/>
          <w:color w:val="000000"/>
          <w:kern w:val="2"/>
          <w:sz w:val="32"/>
          <w:szCs w:val="32"/>
        </w:rPr>
        <w:t>加强对“达茂草原羊”等区域公用品牌的宣传、授权、监督、管理、保护，形成全民共建、共享、共管品牌机制，营造良好市场环境。加快高端品牌培育，完成绿色有机农畜产品认证20件以上，全力打造“达茂草原羊”“达茂马铃薯”“达茂小红皮小麦”等绿色有机高端品牌，争取将山北莜麦、旱地荞麦、蒙古黄芪、文公绿头蒜等地域优势产品列入国家和自治区区域公用品牌名录。</w:t>
      </w:r>
    </w:p>
    <w:p w14:paraId="4D9D5D16">
      <w:pPr>
        <w:spacing w:line="640" w:lineRule="exact"/>
        <w:ind w:firstLine="643" w:firstLineChars="200"/>
        <w:jc w:val="both"/>
        <w:rPr>
          <w:rFonts w:ascii="仿宋_GB2312" w:hAnsi="仿宋" w:eastAsia="仿宋_GB2312" w:cs="仿宋"/>
          <w:sz w:val="32"/>
          <w:szCs w:val="32"/>
        </w:rPr>
      </w:pPr>
      <w:r>
        <w:rPr>
          <w:rFonts w:hint="eastAsia" w:ascii="仿宋_GB2312" w:hAnsi="仿宋" w:eastAsia="仿宋_GB2312" w:cs="楷体"/>
          <w:b/>
          <w:kern w:val="2"/>
          <w:sz w:val="32"/>
          <w:szCs w:val="32"/>
        </w:rPr>
        <w:t>完善品牌推进机制。</w:t>
      </w:r>
      <w:r>
        <w:rPr>
          <w:rFonts w:hint="eastAsia" w:ascii="仿宋_GB2312" w:hAnsi="仿宋" w:eastAsia="仿宋_GB2312" w:cs="仿宋"/>
          <w:sz w:val="32"/>
          <w:szCs w:val="32"/>
        </w:rPr>
        <w:t>加快推进 “三品一标”认证、“中国好粮油”行动计划、农畜产品气候品质认证和名优品牌培育工作。设立绿色产业引导基金，制定商标品牌建设规划，积极融入“产品品牌+地域品牌”的战略行动，建设一批“达茂”字头的拥有核心竞争力的品牌产品、品牌企业。支持企业申报名特优新农畜产品，新增10个以上“三品一标”认证产品。加大网络、媒体等宣传力度，利用城市直销店、超市、电商平台、抖音、快手等营销手段，提高达茂旗农畜产品在全国的知名度和市场竞争力。</w:t>
      </w:r>
    </w:p>
    <w:p w14:paraId="761B30DD">
      <w:pPr>
        <w:spacing w:line="680" w:lineRule="exact"/>
        <w:ind w:firstLine="643" w:firstLineChars="200"/>
        <w:jc w:val="both"/>
        <w:rPr>
          <w:rFonts w:ascii="仿宋_GB2312" w:hAnsi="仿宋" w:eastAsia="仿宋_GB2312" w:cs="仿宋"/>
          <w:sz w:val="32"/>
          <w:szCs w:val="32"/>
        </w:rPr>
      </w:pPr>
      <w:r>
        <w:rPr>
          <w:rFonts w:hint="eastAsia" w:ascii="仿宋_GB2312" w:hAnsi="仿宋" w:eastAsia="仿宋_GB2312" w:cs="楷体"/>
          <w:b/>
          <w:kern w:val="2"/>
          <w:sz w:val="32"/>
          <w:szCs w:val="32"/>
        </w:rPr>
        <w:t>健全品牌保护管理机制。</w:t>
      </w:r>
      <w:r>
        <w:rPr>
          <w:rFonts w:hint="eastAsia" w:ascii="仿宋_GB2312" w:hAnsi="仿宋" w:eastAsia="仿宋_GB2312" w:cs="仿宋"/>
          <w:sz w:val="32"/>
          <w:szCs w:val="32"/>
        </w:rPr>
        <w:t>建立农畜产品区域公用品牌的征集制度、审核推荐制度、价值评价制度，将农畜产品品牌按品种、目标市场等分类，定期发布目录，实行品牌动态管理。强化政府部门对农牧业品牌的管理与维护，实施品牌战略“联席会议”制度，统筹农牧业品牌战略规划和实施进程。</w:t>
      </w:r>
    </w:p>
    <w:p w14:paraId="410F54E3">
      <w:pPr>
        <w:pStyle w:val="3"/>
      </w:pPr>
      <w:bookmarkStart w:id="27" w:name="_Toc71878867"/>
      <w:r>
        <w:rPr>
          <w:rFonts w:hint="eastAsia"/>
        </w:rPr>
        <w:t>第六章 转型升级 提升工业产业链供应链现代化水平</w:t>
      </w:r>
      <w:bookmarkEnd w:id="27"/>
    </w:p>
    <w:p w14:paraId="74908480">
      <w:pPr>
        <w:spacing w:line="680" w:lineRule="exact"/>
        <w:ind w:firstLine="640" w:firstLineChars="200"/>
        <w:rPr>
          <w:rFonts w:ascii="仿宋_GB2312" w:hAnsi="仿宋" w:eastAsia="仿宋_GB2312" w:cs="仿宋_GB2312"/>
          <w:sz w:val="32"/>
          <w:szCs w:val="32"/>
        </w:rPr>
      </w:pPr>
      <w:r>
        <w:rPr>
          <w:rFonts w:hint="eastAsia" w:ascii="仿宋_GB2312" w:hAnsi="仿宋_GB2312" w:eastAsia="仿宋_GB2312" w:cs="仿宋_GB2312"/>
          <w:kern w:val="2"/>
          <w:sz w:val="32"/>
          <w:szCs w:val="32"/>
        </w:rPr>
        <w:t>进一步明确生态优先、绿色发展的鲜明导向，坚持走新型工业化道路，把传统产业转型升级和新兴产业培育发展作为主攻方向，开展工业提质攻坚行动，摆脱依靠资源开发驱动发展的思维定式和路径依赖，补齐新兴产业、高端产业、高附加值产业短板，实现工业高质量发展。</w:t>
      </w:r>
    </w:p>
    <w:p w14:paraId="13E1DF10">
      <w:pPr>
        <w:pStyle w:val="4"/>
      </w:pPr>
      <w:bookmarkStart w:id="28" w:name="_Toc71878868"/>
      <w:r>
        <w:rPr>
          <w:rFonts w:hint="eastAsia"/>
        </w:rPr>
        <w:t xml:space="preserve">第一节 </w:t>
      </w:r>
      <w:bookmarkEnd w:id="28"/>
      <w:r>
        <w:rPr>
          <w:rFonts w:hint="eastAsia"/>
        </w:rPr>
        <w:t>打造优势产业体系</w:t>
      </w:r>
    </w:p>
    <w:p w14:paraId="5FAACB6E">
      <w:pPr>
        <w:spacing w:line="640" w:lineRule="exact"/>
        <w:ind w:firstLine="643" w:firstLineChars="200"/>
        <w:rPr>
          <w:rFonts w:ascii="仿宋_GB2312" w:hAnsi="仿宋" w:eastAsia="仿宋_GB2312" w:cs="仿宋_GB2312"/>
          <w:sz w:val="32"/>
          <w:szCs w:val="32"/>
        </w:rPr>
      </w:pPr>
      <w:r>
        <w:rPr>
          <w:rFonts w:hint="eastAsia" w:ascii="仿宋_GB2312" w:hAnsi="仿宋" w:eastAsia="仿宋_GB2312"/>
          <w:b/>
          <w:sz w:val="32"/>
          <w:szCs w:val="32"/>
        </w:rPr>
        <w:t>一、大力发展现代能源产业。</w:t>
      </w:r>
      <w:r>
        <w:rPr>
          <w:rFonts w:ascii="Times New Roman" w:hAnsi="Times New Roman" w:eastAsia="仿宋_GB2312"/>
          <w:color w:val="000000"/>
          <w:sz w:val="32"/>
          <w:szCs w:val="32"/>
        </w:rPr>
        <w:t>立足风光资源开发优势，</w:t>
      </w:r>
      <w:r>
        <w:rPr>
          <w:rFonts w:hint="eastAsia" w:ascii="仿宋_GB2312" w:hAnsi="仿宋" w:eastAsia="仿宋_GB2312"/>
          <w:sz w:val="32"/>
          <w:szCs w:val="32"/>
          <w:lang w:val="zh-CN"/>
        </w:rPr>
        <w:t>以风电、光电、氢能为重点，增加清洁能源供给，统筹推进能源资源一体化开发利用。</w:t>
      </w:r>
      <w:r>
        <w:rPr>
          <w:rFonts w:hint="eastAsia" w:ascii="仿宋_GB2312" w:hAnsi="仿宋" w:eastAsia="仿宋_GB2312" w:cs="仿宋_GB2312"/>
          <w:sz w:val="32"/>
          <w:szCs w:val="32"/>
        </w:rPr>
        <w:t>推动新能源开发、新能源装备制造、能源利用、制氢储氢等新能源产业</w:t>
      </w:r>
      <w:r>
        <w:rPr>
          <w:rFonts w:hint="eastAsia" w:ascii="仿宋_GB2312" w:hAnsi="仿宋" w:eastAsia="仿宋_GB2312" w:cs="仿宋_GB2312"/>
          <w:vanish/>
          <w:sz w:val="32"/>
          <w:szCs w:val="32"/>
        </w:rPr>
        <w:t>提高产品薯、玉米、葵花等粮食作物品种，的引领型发展，为建设现代化</w:t>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vanish/>
          <w:sz w:val="32"/>
          <w:szCs w:val="32"/>
        </w:rPr>
        <w:pgNum/>
      </w:r>
      <w:r>
        <w:rPr>
          <w:rFonts w:hint="eastAsia" w:ascii="仿宋_GB2312" w:hAnsi="仿宋" w:eastAsia="仿宋_GB2312" w:cs="仿宋_GB2312"/>
          <w:sz w:val="32"/>
          <w:szCs w:val="32"/>
        </w:rPr>
        <w:t>。</w:t>
      </w:r>
      <w:r>
        <w:rPr>
          <w:rFonts w:ascii="Times New Roman" w:hAnsi="Times New Roman" w:eastAsia="仿宋_GB2312"/>
          <w:color w:val="000000"/>
          <w:sz w:val="32"/>
          <w:szCs w:val="32"/>
        </w:rPr>
        <w:t>着眼碳达峰碳中和目标，把清洁能源打造成为达茂转型发展的主导产业、支柱产业。</w:t>
      </w:r>
    </w:p>
    <w:p w14:paraId="7B031E3E">
      <w:pPr>
        <w:spacing w:line="640" w:lineRule="exact"/>
        <w:ind w:firstLine="640" w:firstLineChars="200"/>
        <w:rPr>
          <w:rFonts w:ascii="仿宋_GB2312" w:hAnsi="Times New Roman" w:eastAsia="仿宋_GB2312"/>
          <w:color w:val="000000"/>
          <w:sz w:val="32"/>
          <w:szCs w:val="32"/>
        </w:rPr>
      </w:pPr>
      <w:r>
        <w:rPr>
          <w:rFonts w:hint="eastAsia" w:ascii="楷体_GB2312" w:hAnsi="仿宋" w:eastAsia="楷体_GB2312" w:cs="楷体_GB2312"/>
          <w:sz w:val="32"/>
          <w:szCs w:val="32"/>
        </w:rPr>
        <w:t>扩大新能源开发规模。</w:t>
      </w:r>
      <w:r>
        <w:rPr>
          <w:rFonts w:hint="eastAsia" w:ascii="仿宋_GB2312" w:hAnsi="仿宋" w:eastAsia="仿宋_GB2312" w:cs="仿宋_GB2312"/>
          <w:sz w:val="32"/>
          <w:szCs w:val="32"/>
        </w:rPr>
        <w:t>着眼碳达峰、碳中和推进风光可再生能源高比例发展。加快推进集中式规模化开发，打造高水平的千万千瓦级风电光伏能源基地。加快落地包头市可再生能源综合应用示范区首期160万千瓦风电项目，扎实推进满都拉百万千瓦新能源基地项目，</w:t>
      </w:r>
      <w:r>
        <w:rPr>
          <w:rFonts w:ascii="Times New Roman" w:hAnsi="Times New Roman" w:eastAsia="仿宋_GB2312"/>
          <w:color w:val="000000"/>
          <w:sz w:val="32"/>
          <w:szCs w:val="32"/>
        </w:rPr>
        <w:t>加快落地华电、金风、远景等源网荷储</w:t>
      </w:r>
      <w:r>
        <w:rPr>
          <w:rFonts w:hint="eastAsia" w:ascii="仿宋_GB2312" w:hAnsi="Times New Roman" w:eastAsia="仿宋_GB2312"/>
          <w:color w:val="000000"/>
          <w:sz w:val="32"/>
          <w:szCs w:val="32"/>
        </w:rPr>
        <w:t>一体化首批320万千瓦项目，启动实施源网荷储氢一体化示范首批60万千瓦项目、</w:t>
      </w:r>
      <w:r>
        <w:rPr>
          <w:rFonts w:hint="eastAsia" w:ascii="仿宋_GB2312" w:hAnsi="仿宋" w:eastAsia="仿宋_GB2312" w:cs="仿宋_GB2312"/>
          <w:sz w:val="32"/>
          <w:szCs w:val="32"/>
        </w:rPr>
        <w:t>废弃矿山治理200万千瓦光伏等项目。选择风光资源和电网接入条件较好地区，因地制宜建设一批分散式风电、分布式光伏项目。</w:t>
      </w:r>
      <w:r>
        <w:rPr>
          <w:rFonts w:hint="eastAsia" w:ascii="仿宋_GB2312" w:hAnsi="Times New Roman" w:eastAsia="仿宋_GB2312"/>
          <w:color w:val="000000"/>
          <w:sz w:val="32"/>
          <w:szCs w:val="32"/>
        </w:rPr>
        <w:t>着力推动百万千瓦光热项目，推动建设包头北部风电送出通道，加快输送绿电120万千瓦。“十四五”期间，清洁能源装机规模由351万千瓦增加到1000万千瓦。</w:t>
      </w:r>
    </w:p>
    <w:p w14:paraId="61629784">
      <w:pPr>
        <w:spacing w:line="640" w:lineRule="exact"/>
        <w:ind w:firstLine="640" w:firstLineChars="200"/>
        <w:rPr>
          <w:rFonts w:ascii="仿宋_GB2312" w:hAnsi="仿宋" w:eastAsia="仿宋_GB2312" w:cs="仿宋_GB2312"/>
          <w:sz w:val="32"/>
          <w:szCs w:val="32"/>
        </w:rPr>
      </w:pPr>
      <w:r>
        <w:rPr>
          <w:rFonts w:hint="eastAsia" w:ascii="楷体_GB2312" w:hAnsi="仿宋" w:eastAsia="楷体_GB2312" w:cs="楷体_GB2312"/>
          <w:sz w:val="32"/>
          <w:szCs w:val="32"/>
        </w:rPr>
        <w:t>推进新能源就地消纳。</w:t>
      </w:r>
      <w:r>
        <w:rPr>
          <w:rFonts w:hint="eastAsia" w:ascii="仿宋_GB2312" w:hAnsi="仿宋" w:eastAsia="仿宋_GB2312" w:cs="仿宋_GB2312"/>
          <w:sz w:val="32"/>
          <w:szCs w:val="32"/>
        </w:rPr>
        <w:t>推动巴润工业园区就地消纳一体化微电网、虚拟电厂、绿色零碳产业园等源网荷储一体化项目建设，把丰富的新能源转化为电价洼地。加快实施新能源就地消纳跨越提升工程，规划建设120万千瓦抽水蓄能电站、引进落地国家文化大数据中心、绿色算力中心、晶硅、电池正极负荷项目，最大力度实现新能源就地消纳。推动达茂北500千伏汇集电站，新建巴润工业园区200千伏变电站改造和跨大青山输出通道建设项目。</w:t>
      </w:r>
    </w:p>
    <w:p w14:paraId="04366839">
      <w:pPr>
        <w:spacing w:line="640" w:lineRule="exact"/>
        <w:ind w:firstLine="640" w:firstLineChars="200"/>
        <w:rPr>
          <w:rFonts w:ascii="仿宋_GB2312" w:hAnsi="仿宋" w:eastAsia="仿宋_GB2312" w:cs="仿宋_GB2312"/>
          <w:sz w:val="32"/>
          <w:szCs w:val="32"/>
        </w:rPr>
      </w:pPr>
      <w:r>
        <w:rPr>
          <w:rFonts w:hint="eastAsia" w:ascii="楷体_GB2312" w:hAnsi="仿宋" w:eastAsia="楷体_GB2312" w:cs="楷体_GB2312"/>
          <w:sz w:val="32"/>
          <w:szCs w:val="32"/>
        </w:rPr>
        <w:t>实施大规模储能电站建设。</w:t>
      </w:r>
      <w:r>
        <w:rPr>
          <w:rFonts w:hint="eastAsia" w:ascii="仿宋_GB2312" w:hAnsi="仿宋" w:eastAsia="仿宋_GB2312" w:cs="仿宋_GB2312"/>
          <w:sz w:val="32"/>
          <w:szCs w:val="32"/>
        </w:rPr>
        <w:t>借助区块链先进科技推动能源技术革新，以电网为枢纽，将电源侧储能、用户侧储能和电网侧储能资源进行优化配置，全面释放源网荷各端储能能力。加快发展电化学储能产业，积极引进电力储能装备，实施分布式储能、百万千瓦光热基地储能调峰项目，为新能源就地消纳和外送提供调峰保障电源。</w:t>
      </w:r>
    </w:p>
    <w:p w14:paraId="79F5E2E0">
      <w:pPr>
        <w:spacing w:line="640" w:lineRule="exact"/>
        <w:ind w:firstLine="640" w:firstLineChars="200"/>
        <w:rPr>
          <w:rFonts w:ascii="仿宋_GB2312" w:hAnsi="仿宋" w:eastAsia="仿宋_GB2312" w:cs="仿宋_GB2312"/>
          <w:sz w:val="32"/>
          <w:szCs w:val="32"/>
        </w:rPr>
      </w:pPr>
      <w:r>
        <w:rPr>
          <w:rFonts w:hint="eastAsia" w:ascii="楷体_GB2312" w:hAnsi="Times New Roman" w:eastAsia="楷体_GB2312"/>
          <w:bCs/>
          <w:color w:val="000000"/>
          <w:kern w:val="2"/>
          <w:sz w:val="32"/>
          <w:szCs w:val="32"/>
        </w:rPr>
        <w:t>加快氢能融合转化。</w:t>
      </w:r>
      <w:r>
        <w:rPr>
          <w:rFonts w:ascii="Times New Roman" w:hAnsi="Times New Roman" w:eastAsia="仿宋_GB2312"/>
          <w:color w:val="000000"/>
          <w:sz w:val="32"/>
          <w:szCs w:val="32"/>
        </w:rPr>
        <w:t>强化绿电转化，发展风电制氢储氢、绿氢冶炼、绿氨合成等项目，打造产值</w:t>
      </w:r>
      <w:r>
        <w:rPr>
          <w:rFonts w:hint="eastAsia" w:ascii="仿宋_GB2312" w:hAnsi="Times New Roman" w:eastAsia="仿宋_GB2312"/>
          <w:color w:val="000000"/>
          <w:sz w:val="32"/>
          <w:szCs w:val="32"/>
        </w:rPr>
        <w:t>300亿元以上绿色能源产业集群。发挥绿电优势，大力发展新能源材料产业，加快落地锂电池材料、晶硅材料等项目，打造产值300亿元以上新材料产业集群。推动发展储能产业，培育氢能、电池、</w:t>
      </w:r>
      <w:r>
        <w:rPr>
          <w:rFonts w:ascii="Times New Roman" w:hAnsi="Times New Roman" w:eastAsia="仿宋_GB2312"/>
          <w:color w:val="000000"/>
          <w:sz w:val="32"/>
          <w:szCs w:val="32"/>
        </w:rPr>
        <w:t>重力、空气等多种储能场景，加快梯次动力电池应用推广，配套建设大规模储能电站，培育发展绿能上下游产业。</w:t>
      </w:r>
      <w:r>
        <w:rPr>
          <w:rFonts w:hint="eastAsia" w:ascii="仿宋_GB2312" w:hAnsi="仿宋" w:eastAsia="仿宋_GB2312" w:cs="仿宋_GB2312"/>
          <w:sz w:val="32"/>
          <w:szCs w:val="32"/>
        </w:rPr>
        <w:t>引进鸿达兴业、青岛天能重工、美国空气公司等建设电解水制氢项目，采用先进工艺技术和高效率设备，降低制氢成本。实施氢气液化项目。引进建设绿色冶金示范项目，落地55万吨氢直接还原铁项目，实现零碳排放、绿色冶金。引进建设绿色化示范项目，落地150万吨绿氢项目。建设加氢站，引进氢燃料电池汽车，扩大氢能应用，打造氢产业基地。</w:t>
      </w:r>
      <w:r>
        <w:rPr>
          <w:rFonts w:hint="eastAsia" w:ascii="仿宋_GB2312" w:hAnsi="Times New Roman" w:eastAsia="仿宋_GB2312"/>
          <w:bCs/>
          <w:color w:val="000000"/>
          <w:kern w:val="2"/>
          <w:sz w:val="32"/>
          <w:szCs w:val="32"/>
        </w:rPr>
        <w:t>扩大绿色应用。</w:t>
      </w:r>
      <w:r>
        <w:rPr>
          <w:rFonts w:hint="eastAsia" w:ascii="仿宋_GB2312" w:hAnsi="Times New Roman" w:eastAsia="仿宋_GB2312"/>
          <w:color w:val="000000"/>
          <w:sz w:val="32"/>
          <w:szCs w:val="32"/>
        </w:rPr>
        <w:t>积极推动“北电南送”，提高市区钢铁、稀土、铝业、装备制造等产业“绿电”使用比例，</w:t>
      </w:r>
      <w:r>
        <w:rPr>
          <w:rFonts w:ascii="Times New Roman" w:hAnsi="Times New Roman" w:eastAsia="仿宋_GB2312"/>
          <w:color w:val="000000"/>
          <w:sz w:val="32"/>
          <w:szCs w:val="32"/>
        </w:rPr>
        <w:t>为全市完成能耗双控、实现“双碳”目标作出达茂贡献。加快推动我旗传统产业用能替代，创新智慧能源管理，有序完成钢铁、稀土等重点耗能产业用电绿色化，全面推进各领域绿色低碳改造，构建清洁低碳、安全高效的能源体系。</w:t>
      </w:r>
    </w:p>
    <w:tbl>
      <w:tblPr>
        <w:tblStyle w:val="25"/>
        <w:tblpPr w:leftFromText="180" w:rightFromText="180" w:vertAnchor="text" w:horzAnchor="page" w:tblpX="1939" w:tblpY="65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24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5000" w:type="pct"/>
          </w:tcPr>
          <w:p w14:paraId="5A4C17BA">
            <w:pPr>
              <w:pStyle w:val="5"/>
              <w:widowControl w:val="0"/>
              <w:spacing w:before="240"/>
              <w:ind w:firstLine="0" w:firstLineChars="0"/>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专栏5  新能源及配套工程</w:t>
            </w:r>
          </w:p>
          <w:p w14:paraId="2F440D94">
            <w:pPr>
              <w:pStyle w:val="37"/>
              <w:widowControl w:val="0"/>
              <w:spacing w:before="0" w:beforeAutospacing="0" w:after="0" w:afterAutospacing="0" w:line="360" w:lineRule="auto"/>
              <w:ind w:firstLine="480" w:firstLineChars="0"/>
              <w:jc w:val="both"/>
              <w:rPr>
                <w:rFonts w:asciiTheme="minorEastAsia" w:hAnsiTheme="minorEastAsia" w:eastAsiaTheme="minorEastAsia" w:cstheme="minorEastAsia"/>
                <w:bCs/>
                <w:color w:val="auto"/>
                <w:szCs w:val="24"/>
              </w:rPr>
            </w:pPr>
            <w:r>
              <w:rPr>
                <w:rFonts w:hint="eastAsia" w:cs="仿宋_GB2312" w:asciiTheme="majorEastAsia" w:hAnsiTheme="majorEastAsia" w:eastAsiaTheme="majorEastAsia"/>
                <w:color w:val="auto"/>
                <w:szCs w:val="24"/>
              </w:rPr>
              <w:t>包头市可再生能源综合应用示范区、</w:t>
            </w:r>
            <w:r>
              <w:rPr>
                <w:rFonts w:hint="eastAsia" w:asciiTheme="minorEastAsia" w:hAnsiTheme="minorEastAsia" w:eastAsiaTheme="minorEastAsia" w:cstheme="minorEastAsia"/>
                <w:bCs/>
                <w:color w:val="auto"/>
                <w:szCs w:val="24"/>
              </w:rPr>
              <w:t>百万千瓦光热基地项目、百万千瓦清洁能源基地项目、风光热储智能互补综合示范项目、风电制氢</w:t>
            </w:r>
            <w:r>
              <w:rPr>
                <w:rFonts w:hint="eastAsia" w:ascii="仿宋" w:hAnsi="仿宋" w:eastAsia="仿宋" w:cs="方正仿宋简体"/>
                <w:color w:val="auto"/>
                <w:szCs w:val="24"/>
              </w:rPr>
              <w:t>、</w:t>
            </w:r>
            <w:r>
              <w:rPr>
                <w:rFonts w:hint="eastAsia" w:cs="方正仿宋简体" w:asciiTheme="minorEastAsia" w:hAnsiTheme="minorEastAsia" w:eastAsiaTheme="minorEastAsia"/>
                <w:color w:val="auto"/>
                <w:szCs w:val="24"/>
              </w:rPr>
              <w:t>储氢、用氢</w:t>
            </w:r>
            <w:r>
              <w:rPr>
                <w:rFonts w:hint="eastAsia" w:asciiTheme="minorEastAsia" w:hAnsiTheme="minorEastAsia" w:eastAsiaTheme="minorEastAsia" w:cstheme="minorEastAsia"/>
                <w:bCs/>
                <w:color w:val="auto"/>
                <w:szCs w:val="24"/>
              </w:rPr>
              <w:t>示范项目、微电网、</w:t>
            </w:r>
            <w:r>
              <w:rPr>
                <w:rFonts w:hint="eastAsia" w:cs="仿宋_GB2312" w:asciiTheme="majorEastAsia" w:hAnsiTheme="majorEastAsia" w:eastAsiaTheme="majorEastAsia"/>
                <w:color w:val="auto"/>
                <w:szCs w:val="24"/>
              </w:rPr>
              <w:t>500千伏汇集电站、</w:t>
            </w:r>
            <w:r>
              <w:rPr>
                <w:rFonts w:hint="eastAsia" w:asciiTheme="minorEastAsia" w:hAnsiTheme="minorEastAsia" w:eastAsiaTheme="minorEastAsia" w:cstheme="minorEastAsia"/>
                <w:bCs/>
                <w:color w:val="auto"/>
                <w:szCs w:val="24"/>
              </w:rPr>
              <w:t>源网荷储氢百万千瓦级项目、</w:t>
            </w:r>
            <w:r>
              <w:rPr>
                <w:rFonts w:hint="eastAsia" w:cs="方正仿宋简体" w:asciiTheme="majorEastAsia" w:hAnsiTheme="majorEastAsia" w:eastAsiaTheme="majorEastAsia"/>
                <w:color w:val="auto"/>
                <w:szCs w:val="24"/>
              </w:rPr>
              <w:t>大数据项目、</w:t>
            </w:r>
            <w:r>
              <w:rPr>
                <w:rFonts w:hint="eastAsia" w:cs="仿宋_GB2312" w:asciiTheme="minorEastAsia" w:hAnsiTheme="minorEastAsia" w:eastAsiaTheme="minorEastAsia"/>
                <w:color w:val="auto"/>
                <w:szCs w:val="24"/>
              </w:rPr>
              <w:t>绿色算力中心项目、</w:t>
            </w:r>
            <w:r>
              <w:rPr>
                <w:rFonts w:hint="eastAsia" w:cs="仿宋_GB2312" w:asciiTheme="majorEastAsia" w:hAnsiTheme="majorEastAsia" w:eastAsiaTheme="majorEastAsia"/>
                <w:color w:val="auto"/>
                <w:szCs w:val="24"/>
              </w:rPr>
              <w:t>晶硅制造</w:t>
            </w:r>
            <w:r>
              <w:rPr>
                <w:rFonts w:hint="eastAsia" w:asciiTheme="majorEastAsia" w:hAnsiTheme="majorEastAsia" w:eastAsiaTheme="majorEastAsia" w:cstheme="minorEastAsia"/>
                <w:bCs/>
                <w:color w:val="auto"/>
                <w:szCs w:val="24"/>
              </w:rPr>
              <w:t>等</w:t>
            </w:r>
            <w:r>
              <w:rPr>
                <w:rFonts w:hint="eastAsia" w:asciiTheme="minorEastAsia" w:hAnsiTheme="minorEastAsia" w:eastAsiaTheme="minorEastAsia" w:cstheme="minorEastAsia"/>
                <w:bCs/>
                <w:color w:val="auto"/>
                <w:szCs w:val="24"/>
              </w:rPr>
              <w:t>。</w:t>
            </w:r>
          </w:p>
        </w:tc>
      </w:tr>
    </w:tbl>
    <w:p w14:paraId="3139D87D">
      <w:pPr>
        <w:pStyle w:val="23"/>
        <w:spacing w:line="640" w:lineRule="exact"/>
        <w:ind w:firstLine="0" w:firstLineChars="0"/>
        <w:rPr>
          <w:rFonts w:ascii="仿宋_GB2312" w:eastAsia="仿宋_GB2312"/>
          <w:b/>
        </w:rPr>
      </w:pPr>
    </w:p>
    <w:p w14:paraId="5DF4E44B">
      <w:pPr>
        <w:pStyle w:val="23"/>
        <w:spacing w:line="640" w:lineRule="exact"/>
        <w:ind w:firstLine="643"/>
        <w:rPr>
          <w:rFonts w:ascii="仿宋_GB2312" w:hAnsi="仿宋" w:eastAsia="仿宋_GB2312" w:cs="楷体_GB2312"/>
          <w:b/>
        </w:rPr>
      </w:pPr>
    </w:p>
    <w:p w14:paraId="66E4DF3E">
      <w:pPr>
        <w:pStyle w:val="23"/>
        <w:spacing w:line="640" w:lineRule="exact"/>
        <w:ind w:firstLine="643"/>
        <w:rPr>
          <w:rFonts w:ascii="仿宋_GB2312" w:hAnsi="仿宋" w:eastAsia="仿宋_GB2312" w:cs="楷体"/>
          <w:kern w:val="2"/>
        </w:rPr>
      </w:pPr>
      <w:r>
        <w:rPr>
          <w:rFonts w:hint="eastAsia" w:ascii="仿宋_GB2312" w:hAnsi="仿宋" w:eastAsia="仿宋_GB2312" w:cs="楷体_GB2312"/>
          <w:b/>
        </w:rPr>
        <w:t>二、推动产业转型升级。</w:t>
      </w:r>
      <w:r>
        <w:rPr>
          <w:rFonts w:hint="eastAsia" w:ascii="仿宋_GB2312" w:hAnsi="仿宋" w:eastAsia="仿宋_GB2312" w:cs="楷体"/>
          <w:kern w:val="2"/>
        </w:rPr>
        <w:t>聚焦产业高端化、智能化和绿色化，立足钢铁、稀土等材料产业基础，加强与国内有实力的企业合作，加快利用新技术改造提升传统产业，通过补齐短板、锻造长板，培育壮大稀土产业，提档升级钢铁产业，打造新型材料产业基地。</w:t>
      </w:r>
    </w:p>
    <w:p w14:paraId="46E339D6">
      <w:pPr>
        <w:pStyle w:val="23"/>
        <w:spacing w:line="640" w:lineRule="exact"/>
        <w:ind w:firstLine="640"/>
        <w:rPr>
          <w:rFonts w:ascii="仿宋_GB2312" w:hAnsi="仿宋" w:eastAsia="仿宋_GB2312" w:cs="仿宋"/>
          <w:bCs/>
        </w:rPr>
      </w:pPr>
      <w:r>
        <w:rPr>
          <w:rFonts w:hint="eastAsia" w:ascii="楷体_GB2312" w:hAnsi="仿宋" w:eastAsia="楷体_GB2312" w:cs="楷体_GB2312"/>
        </w:rPr>
        <w:t>发展壮大稀土产业。</w:t>
      </w:r>
      <w:r>
        <w:rPr>
          <w:rFonts w:hint="eastAsia" w:ascii="仿宋_GB2312" w:hAnsi="仿宋" w:eastAsia="仿宋_GB2312" w:cs="仿宋"/>
          <w:bCs/>
        </w:rPr>
        <w:t>加强与包头市稀土企业的战略合作，依托包头市稀土产业、科技等优势，推动我旗稀土产业转型升级。积极承接包钢稀土冶炼项目转移，做大稀土初级产品加工规模，提高碳酸稀土、稀土氧化物产能。发展稀土中端产品，适度延伸稀土产业链，引进建设稀土合金、稀土储氢材料、稀土发光材料、稀土颜料、稀土热稳定剂等功能性材料项目。鼓励企业加大对稀土采选、冶炼、资源综合利用等技术研发投入力度，对稀土、铁、铌等矿种进行高效分离，采用先进的稀土尾矿浮选铌技术从稀土尾矿中选出铌精矿，积极发展稀土配套加工产业，利用稀土尾矿合成陶瓷粉体、制备高强度高活性氨合成催化剂、无机矿物聚合物等，回收利用稀土冶炼分离工序中产生的含氟废水、含硫废气生产氟酸、氟盐、硫酸等副产品，提高稀土矿石综合利用率。</w:t>
      </w:r>
    </w:p>
    <w:p w14:paraId="71097BF5">
      <w:pPr>
        <w:pStyle w:val="23"/>
        <w:spacing w:line="640" w:lineRule="exact"/>
        <w:ind w:firstLine="640"/>
        <w:rPr>
          <w:rFonts w:ascii="仿宋_GB2312" w:hAnsi="仿宋" w:eastAsia="仿宋_GB2312" w:cs="仿宋"/>
          <w:bCs/>
        </w:rPr>
      </w:pPr>
      <w:r>
        <w:rPr>
          <w:rFonts w:hint="eastAsia" w:ascii="楷体_GB2312" w:hAnsi="仿宋" w:eastAsia="楷体_GB2312" w:cs="楷体_GB2312"/>
        </w:rPr>
        <w:t>推动钢铁产业转型升级。</w:t>
      </w:r>
      <w:r>
        <w:rPr>
          <w:rFonts w:hint="eastAsia" w:ascii="仿宋_GB2312" w:hAnsi="仿宋" w:eastAsia="仿宋_GB2312" w:cs="仿宋"/>
          <w:bCs/>
        </w:rPr>
        <w:t>加大蒙古国铁矿石进口力度，利用铁矿石干磨干选、冷固结球团技术，适度扩大铁精粉生产规模及能力。到2025年，全旗铁精粉生产规模达到1000万吨以上。推动钢铁产业向下游延伸，充分发挥风电制绿氢优势，实施氢直接还原铁项目，适度发展氧化球团、球磨铸铁、高纯生铁等生产项目。支持和鼓励宝鑫公司实施技改扩能项目，完成宝鑫特钢100 万吨棒材项目，建设120吨转炉、1660立方米高炉，发展管材、板材、螺纹钢等钢铁下游产品。推进铁尾矿、钢渣、碎石、烟气等废弃物的综合利用，实施微晶系列产品、发泡陶瓷、透水砖陶粒和建筑骨料等生产项目，提高铁矿石资源综合利用水平。</w:t>
      </w:r>
    </w:p>
    <w:p w14:paraId="7170794E">
      <w:pPr>
        <w:pStyle w:val="23"/>
        <w:spacing w:line="640" w:lineRule="exact"/>
        <w:ind w:firstLine="640"/>
        <w:rPr>
          <w:rFonts w:ascii="仿宋_GB2312" w:hAnsi="仿宋" w:eastAsia="仿宋_GB2312" w:cs="仿宋"/>
          <w:bCs/>
        </w:rPr>
      </w:pPr>
      <w:r>
        <w:rPr>
          <w:rFonts w:hint="eastAsia" w:ascii="楷体_GB2312" w:hAnsi="仿宋" w:eastAsia="楷体_GB2312" w:cs="楷体_GB2312"/>
        </w:rPr>
        <w:t>发展有色金属冶炼产业。</w:t>
      </w:r>
      <w:r>
        <w:rPr>
          <w:rFonts w:hint="eastAsia" w:ascii="仿宋_GB2312" w:hAnsi="仿宋" w:eastAsia="仿宋_GB2312" w:cs="仿宋"/>
          <w:bCs/>
        </w:rPr>
        <w:t>依托蒙古国进口铜矿资源，充分发挥电力成本优势，鼓励企业采用先进环保的工艺技术（富氧底吹高效铜熔炼新工艺），加快铜冶炼、加工一体化发展，构建循环经济产业链。积极引导发展高性能铜及铜合金、高精铜板带、高精电解铜箔、超长冷凝管等专业化特种产品生产，推进铜冶炼向精深加工方向发展。探索发展铝产业，</w:t>
      </w:r>
      <w:r>
        <w:rPr>
          <w:rFonts w:hint="eastAsia" w:ascii="等线" w:hAnsi="等线" w:eastAsia="仿宋_GB2312"/>
          <w:kern w:val="2"/>
          <w:szCs w:val="22"/>
        </w:rPr>
        <w:t>以中高端铝产品为方向，实施</w:t>
      </w:r>
      <w:r>
        <w:rPr>
          <w:rFonts w:hint="eastAsia" w:ascii="仿宋_GB2312" w:hAnsi="仿宋" w:eastAsia="仿宋_GB2312" w:cs="仿宋"/>
          <w:bCs/>
        </w:rPr>
        <w:t>20</w:t>
      </w:r>
      <w:r>
        <w:rPr>
          <w:rFonts w:hint="eastAsia" w:ascii="等线" w:hAnsi="等线" w:eastAsia="仿宋_GB2312"/>
          <w:kern w:val="2"/>
          <w:szCs w:val="22"/>
        </w:rPr>
        <w:t>万吨氟化铝项目，引进企业发展电解铝、铝合金材料、建筑铝材、高强度轻质铝材等铝产品，延伸铝后加工产业链。</w:t>
      </w:r>
    </w:p>
    <w:p w14:paraId="0BD73166">
      <w:pPr>
        <w:spacing w:line="640" w:lineRule="exact"/>
        <w:rPr>
          <w:rFonts w:ascii="楷体" w:hAnsi="楷体" w:eastAsia="楷体" w:cs="楷体"/>
          <w:sz w:val="32"/>
          <w:szCs w:val="32"/>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EE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522" w:type="dxa"/>
          </w:tcPr>
          <w:p w14:paraId="07EAE24D">
            <w:pPr>
              <w:pStyle w:val="5"/>
              <w:widowControl w:val="0"/>
              <w:spacing w:before="240"/>
              <w:ind w:firstLine="0" w:firstLineChars="0"/>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专栏6 金属采选与冶炼深加工</w:t>
            </w:r>
          </w:p>
          <w:p w14:paraId="15335834">
            <w:pPr>
              <w:pStyle w:val="135"/>
              <w:rPr>
                <w:rFonts w:ascii="仿宋_GB2312" w:hAnsi="仿宋" w:eastAsia="仿宋_GB2312" w:cs="宋体"/>
                <w:color w:val="auto"/>
                <w:szCs w:val="36"/>
              </w:rPr>
            </w:pPr>
            <w:r>
              <w:rPr>
                <w:rFonts w:hint="eastAsia"/>
                <w:color w:val="auto"/>
              </w:rPr>
              <w:t>稀土镁合金生产项目、稀土热稳定剂项目、稀土抛光粉生产项目、稀土汽车尾气净化剂项目、稀土发光材料生产项目、铁矿采选项目、铁矿尾矿库综合利用与治理项目、硅铁硅锰高碳铬铁生产项目、铁合金生产项目、球磨铸铁生产项目、铸造用高纯生铁项目、高性能球墨铸铁件生产项目、板材加工项目、热轧卷板项目、不锈钢板带项目、高品质不锈钢冷轧板加工项目、镀锌钢管项目、氟化铝循环经济项目、铜冶炼项目、电解铝、铝合金材料、建筑铝材、高强度轻质铝材。</w:t>
            </w:r>
          </w:p>
        </w:tc>
      </w:tr>
    </w:tbl>
    <w:p w14:paraId="14F5E0CA">
      <w:pPr>
        <w:pStyle w:val="23"/>
        <w:spacing w:line="640" w:lineRule="exact"/>
        <w:ind w:firstLine="640"/>
        <w:rPr>
          <w:rFonts w:ascii="楷体_GB2312" w:hAnsi="仿宋" w:eastAsia="楷体_GB2312" w:cs="仿宋"/>
        </w:rPr>
      </w:pPr>
    </w:p>
    <w:p w14:paraId="4815DFC8">
      <w:pPr>
        <w:pStyle w:val="23"/>
        <w:spacing w:line="640" w:lineRule="exact"/>
        <w:ind w:firstLine="640"/>
        <w:rPr>
          <w:rFonts w:ascii="仿宋_GB2312" w:hAnsi="仿宋" w:eastAsia="仿宋_GB2312" w:cs="仿宋"/>
          <w:bCs/>
        </w:rPr>
      </w:pPr>
      <w:r>
        <w:rPr>
          <w:rFonts w:hint="eastAsia" w:ascii="楷体_GB2312" w:hAnsi="仿宋" w:eastAsia="楷体_GB2312" w:cs="楷体_GB2312"/>
        </w:rPr>
        <w:t>培育壮大战略性新材料产业。</w:t>
      </w:r>
      <w:r>
        <w:rPr>
          <w:rFonts w:hint="eastAsia" w:ascii="仿宋_GB2312" w:hAnsi="仿宋" w:eastAsia="仿宋_GB2312" w:cs="楷体_GB2312"/>
          <w:bCs/>
        </w:rPr>
        <w:t>实</w:t>
      </w:r>
      <w:r>
        <w:rPr>
          <w:rFonts w:hint="eastAsia" w:ascii="仿宋_GB2312" w:hAnsi="仿宋" w:eastAsia="仿宋_GB2312" w:cs="仿宋"/>
        </w:rPr>
        <w:t>施战略性新兴产业培育工程，</w:t>
      </w:r>
      <w:r>
        <w:rPr>
          <w:rFonts w:hint="eastAsia" w:ascii="仿宋_GB2312" w:hAnsi="仿宋" w:eastAsia="仿宋_GB2312" w:cs="仿宋"/>
          <w:bCs/>
        </w:rPr>
        <w:t>积极推进石墨资源保护性开采，实施高纯石墨、膨化石墨、球形石墨、高纯鳞片石墨、石墨坩埚和石墨电极系列产品生产等深加工项目。积极跟踪石墨烯技术进步和产业化趋势，引进石墨烯和下游碳复合材料项目，打造石墨资源开发—生产加工—应用产业链，进一步提升石墨产业发展水平。依托清洁能源开发优势，实施单晶硅、多晶硅、</w:t>
      </w:r>
      <w:r>
        <w:rPr>
          <w:rFonts w:hint="eastAsia" w:ascii="仿宋_GB2312" w:hAnsi="仿宋" w:eastAsia="仿宋_GB2312"/>
        </w:rPr>
        <w:t>氯化硅、光伏板、</w:t>
      </w:r>
      <w:r>
        <w:rPr>
          <w:rFonts w:hint="eastAsia" w:ascii="仿宋_GB2312" w:hAnsi="仿宋" w:eastAsia="仿宋_GB2312" w:cs="仿宋"/>
        </w:rPr>
        <w:t>氟硅新材料等高载能项目，引进发展磷酸铁锂项目。探索在信息技术、人工智能、新能源、新能源汽车等新型战略性产业方面引进实施相关配套产业。</w:t>
      </w:r>
    </w:p>
    <w:p w14:paraId="4A92535D">
      <w:pPr>
        <w:spacing w:line="640" w:lineRule="exact"/>
        <w:rPr>
          <w:rFonts w:ascii="楷体" w:hAnsi="楷体" w:eastAsia="楷体" w:cs="楷体"/>
          <w:sz w:val="32"/>
          <w:szCs w:val="32"/>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19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8522" w:type="dxa"/>
          </w:tcPr>
          <w:p w14:paraId="035F1E54">
            <w:pPr>
              <w:pStyle w:val="135"/>
              <w:spacing w:before="240"/>
              <w:ind w:firstLine="482"/>
              <w:jc w:val="center"/>
              <w:rPr>
                <w:b/>
                <w:color w:val="auto"/>
              </w:rPr>
            </w:pPr>
            <w:r>
              <w:rPr>
                <w:rFonts w:hint="eastAsia"/>
                <w:b/>
                <w:color w:val="auto"/>
              </w:rPr>
              <w:t>专栏7  新材料</w:t>
            </w:r>
          </w:p>
          <w:p w14:paraId="5BF9E21F">
            <w:pPr>
              <w:pStyle w:val="135"/>
              <w:rPr>
                <w:rFonts w:ascii="仿宋" w:hAnsi="仿宋" w:eastAsia="仿宋" w:cs="仿宋"/>
                <w:color w:val="auto"/>
              </w:rPr>
            </w:pPr>
            <w:r>
              <w:rPr>
                <w:rFonts w:hint="eastAsia"/>
                <w:color w:val="auto"/>
              </w:rPr>
              <w:t>石墨深加工项目、石墨烯新材料开发项目、石墨电极项目、微细粉石墨和球形石墨生产项目、石墨烯和下游碳复合材料项目、新材料项目（锂电池正负极及隔膜、储能）、锂锰复合氧化物项目、氟硅新材料生产项目。</w:t>
            </w:r>
          </w:p>
        </w:tc>
      </w:tr>
    </w:tbl>
    <w:p w14:paraId="0ED02DB6">
      <w:pPr>
        <w:pStyle w:val="23"/>
        <w:spacing w:line="640" w:lineRule="exact"/>
        <w:ind w:firstLine="640"/>
        <w:rPr>
          <w:rFonts w:ascii="仿宋_GB2312" w:hAnsi="仿宋" w:eastAsia="仿宋_GB2312" w:cs="仿宋"/>
        </w:rPr>
      </w:pPr>
    </w:p>
    <w:p w14:paraId="0FE8BE57">
      <w:pPr>
        <w:pStyle w:val="23"/>
        <w:spacing w:line="640" w:lineRule="exact"/>
        <w:ind w:firstLine="640"/>
        <w:rPr>
          <w:rFonts w:ascii="仿宋_GB2312" w:hAnsi="仿宋" w:eastAsia="仿宋_GB2312" w:cs="仿宋"/>
        </w:rPr>
      </w:pPr>
      <w:r>
        <w:rPr>
          <w:rFonts w:hint="eastAsia" w:ascii="楷体_GB2312" w:hAnsi="仿宋" w:eastAsia="楷体_GB2312" w:cs="楷体_GB2312"/>
        </w:rPr>
        <w:t>发展建材和化工产业。</w:t>
      </w:r>
      <w:r>
        <w:rPr>
          <w:rFonts w:hint="eastAsia" w:ascii="仿宋_GB2312" w:hAnsi="仿宋" w:eastAsia="仿宋_GB2312" w:cs="仿宋"/>
        </w:rPr>
        <w:t>适度开发旗内萤石、珍珠岩、石灰石等资源，发展建材化工产业。推动萤石矿综合开发利用，实施萤石精粉加工、氟化工等项目，进一步发展氟化工产业，发展氢氟酸、氟化氢、聚偏氟乙烯、聚三氟氯乙烯、氟硅橡胶、氟硅树脂等项目。加强珍珠岩资源保护性开发，发展生产球形非多孔膨胀珍珠岩、憎水珍珠岩制品、珍珠岩水泥空心条板、水泥珍珠岩砌块、膨胀珍珠岩装饰吸声板、珍珠岩助滤剂等建材产品，构建珍珠岩开发产业链。依托旗内石灰石、磷矿等丰富的矿产资源，重点推进磷肥、钾肥、微量元素肥等生产项目，加快推进废弃矿石综合利用（富钾板岩）生产项目落地。</w:t>
      </w:r>
    </w:p>
    <w:p w14:paraId="16D2BB33">
      <w:pPr>
        <w:pStyle w:val="23"/>
        <w:spacing w:line="640" w:lineRule="exact"/>
        <w:ind w:firstLine="400"/>
        <w:rPr>
          <w:rFonts w:ascii="仿宋" w:hAnsi="仿宋" w:eastAsia="仿宋" w:cs="仿宋"/>
          <w:bCs/>
          <w:sz w:val="20"/>
          <w:szCs w:val="20"/>
        </w:rPr>
      </w:pPr>
    </w:p>
    <w:tbl>
      <w:tblPr>
        <w:tblStyle w:val="25"/>
        <w:tblpPr w:leftFromText="180" w:rightFromText="180" w:vertAnchor="text" w:horzAnchor="page" w:tblpX="2023" w:tblpY="13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71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8522" w:type="dxa"/>
          </w:tcPr>
          <w:p w14:paraId="318C2B5A">
            <w:pPr>
              <w:pStyle w:val="135"/>
              <w:spacing w:before="240"/>
              <w:ind w:firstLine="479" w:firstLineChars="199"/>
              <w:jc w:val="center"/>
              <w:rPr>
                <w:b/>
                <w:color w:val="auto"/>
              </w:rPr>
            </w:pPr>
            <w:r>
              <w:rPr>
                <w:rFonts w:hint="eastAsia"/>
                <w:b/>
                <w:color w:val="auto"/>
              </w:rPr>
              <w:t>专栏8  建材化工</w:t>
            </w:r>
          </w:p>
          <w:p w14:paraId="3695FE24">
            <w:pPr>
              <w:pStyle w:val="135"/>
              <w:rPr>
                <w:rFonts w:eastAsia="仿宋_GB2312"/>
                <w:color w:val="auto"/>
              </w:rPr>
            </w:pPr>
            <w:r>
              <w:rPr>
                <w:rFonts w:hint="eastAsia"/>
                <w:color w:val="auto"/>
              </w:rPr>
              <w:t>铁尾矿综合利用项目、石灰岩建材项目、固废综合利用生产新型建筑材料项目、稀土颜料生产项目、水泥珍珠岩砌块生产项目、珍珠岩综合开发生产保温和防火保温项目、矿山固废资源生态化利用项目、微量元素肥生产项、钾肥加工、</w:t>
            </w:r>
            <w:r>
              <w:rPr>
                <w:rFonts w:hint="eastAsia" w:cs="仿宋" w:asciiTheme="majorEastAsia" w:hAnsiTheme="majorEastAsia" w:eastAsiaTheme="majorEastAsia"/>
                <w:color w:val="auto"/>
              </w:rPr>
              <w:t>氢氟酸、氟化氢、聚偏氟乙烯、氟硅橡胶、氟硅树脂等</w:t>
            </w:r>
            <w:r>
              <w:rPr>
                <w:rFonts w:hint="eastAsia" w:asciiTheme="majorEastAsia" w:hAnsiTheme="majorEastAsia" w:eastAsiaTheme="majorEastAsia"/>
                <w:color w:val="auto"/>
              </w:rPr>
              <w:t>项目。</w:t>
            </w:r>
          </w:p>
        </w:tc>
      </w:tr>
    </w:tbl>
    <w:p w14:paraId="5CE7F5C8"/>
    <w:p w14:paraId="135886AC">
      <w:pPr>
        <w:pStyle w:val="2"/>
        <w:ind w:firstLine="640"/>
      </w:pPr>
    </w:p>
    <w:p w14:paraId="7E9FA25C">
      <w:pPr>
        <w:pStyle w:val="23"/>
        <w:spacing w:line="640" w:lineRule="exact"/>
        <w:ind w:firstLine="643"/>
        <w:rPr>
          <w:rFonts w:ascii="仿宋_GB2312" w:hAnsi="仿宋_GB2312" w:eastAsia="仿宋_GB2312" w:cs="仿宋_GB2312"/>
          <w:kern w:val="2"/>
        </w:rPr>
      </w:pPr>
      <w:r>
        <w:rPr>
          <w:rFonts w:hint="eastAsia" w:ascii="仿宋_GB2312" w:hAnsi="仿宋" w:eastAsia="仿宋_GB2312" w:cs="楷体_GB2312"/>
          <w:b/>
        </w:rPr>
        <w:t>四、大力发展</w:t>
      </w:r>
      <w:r>
        <w:rPr>
          <w:rFonts w:hint="eastAsia" w:ascii="仿宋_GB2312" w:hAnsi="仿宋" w:eastAsia="仿宋_GB2312"/>
          <w:b/>
        </w:rPr>
        <w:t>农畜食品产业</w:t>
      </w:r>
      <w:r>
        <w:rPr>
          <w:rFonts w:hint="eastAsia" w:ascii="仿宋_GB2312" w:hAnsi="仿宋" w:eastAsia="仿宋_GB2312" w:cs="楷体_GB2312"/>
          <w:b/>
        </w:rPr>
        <w:t>。</w:t>
      </w:r>
      <w:r>
        <w:rPr>
          <w:rFonts w:hint="eastAsia" w:ascii="仿宋_GB2312" w:hAnsi="仿宋" w:eastAsia="仿宋_GB2312" w:cs="仿宋"/>
        </w:rPr>
        <w:t>立足我旗绿色农畜产品资源优势和产业基础，做大达茂旗黄花滩绿色食品加工园区，建设集冷链、物流、深加工为一体的农畜产品加工基地</w:t>
      </w:r>
      <w:r>
        <w:rPr>
          <w:rFonts w:hint="eastAsia" w:ascii="仿宋_GB2312" w:hAnsi="仿宋_GB2312" w:eastAsia="仿宋_GB2312" w:cs="仿宋_GB2312"/>
          <w:kern w:val="2"/>
        </w:rPr>
        <w:t>。充分利用肉、乳、杂粮、中药材等特色资源，大力发展农畜产品精深加工。培育壮大牛羊肉精深加工为主的肉食品龙头企业，重点提升牛羊肉分割加工能力和水平，推动向冷鲜肉、精小包装、方便速食方向发展，延伸发展熟肉类、高端乳制品、保健食品等产品，打造肉食品产业集群。配套推进骨血脏器等副产品加工开发利用，延伸绿色农畜产品产业链。实施自治区奶业振兴三年行动方案，开发各类民族奶食品系列产品，提升民族奶制品生产能力和水平。着力打造饲料和肥料、高品质肉类、高品质杂粮、高品质中药材、农副产品综合利用、民族特色食品、马铃薯全产业等产业链。支持套马沟等建设一二三产业融合发展先导区。</w:t>
      </w:r>
    </w:p>
    <w:p w14:paraId="0457D6ED">
      <w:pPr>
        <w:pStyle w:val="23"/>
        <w:spacing w:line="640" w:lineRule="exact"/>
        <w:ind w:firstLine="640"/>
        <w:rPr>
          <w:rFonts w:ascii="仿宋_GB2312" w:hAnsi="仿宋_GB2312" w:eastAsia="仿宋_GB2312" w:cs="仿宋_GB2312"/>
          <w:kern w:val="2"/>
        </w:rPr>
      </w:pPr>
    </w:p>
    <w:tbl>
      <w:tblPr>
        <w:tblStyle w:val="25"/>
        <w:tblpPr w:leftFromText="180" w:rightFromText="180" w:vertAnchor="text" w:horzAnchor="page" w:tblpX="1918" w:tblpY="35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A37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522" w:type="dxa"/>
          </w:tcPr>
          <w:p w14:paraId="33DAE4FE">
            <w:pPr>
              <w:pStyle w:val="5"/>
              <w:widowControl w:val="0"/>
              <w:spacing w:before="240"/>
              <w:ind w:firstLine="0" w:firstLineChars="0"/>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专栏9 农畜产品加工</w:t>
            </w:r>
          </w:p>
          <w:p w14:paraId="0C31E837">
            <w:pPr>
              <w:pStyle w:val="23"/>
              <w:widowControl w:val="0"/>
              <w:spacing w:line="360" w:lineRule="auto"/>
              <w:ind w:firstLine="48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农牧业种养加一体化基地建设项目、绿色食品深加工建设项目、农牧业冷链物流项目、有机绿色牛羊肉深加工项目、乳制品深加工项目、马奶深加工项目、柠条加工综合利用项目等。</w:t>
            </w:r>
          </w:p>
        </w:tc>
      </w:tr>
    </w:tbl>
    <w:p w14:paraId="5A281185">
      <w:pPr>
        <w:pStyle w:val="2"/>
        <w:ind w:firstLine="0" w:firstLineChars="0"/>
      </w:pPr>
    </w:p>
    <w:p w14:paraId="2188D729">
      <w:pPr>
        <w:pStyle w:val="4"/>
      </w:pPr>
      <w:bookmarkStart w:id="29" w:name="_Toc71878869"/>
      <w:r>
        <w:rPr>
          <w:rFonts w:hint="eastAsia"/>
        </w:rPr>
        <w:t>第二节 推动大数据产业发展</w:t>
      </w:r>
      <w:bookmarkEnd w:id="29"/>
    </w:p>
    <w:p w14:paraId="0F3B13EA">
      <w:pPr>
        <w:pStyle w:val="132"/>
        <w:tabs>
          <w:tab w:val="left" w:pos="1299"/>
        </w:tabs>
        <w:spacing w:line="640" w:lineRule="exact"/>
        <w:ind w:firstLine="627" w:firstLineChars="196"/>
        <w:rPr>
          <w:rFonts w:ascii="仿宋_GB2312" w:hAnsi="仿宋" w:eastAsia="仿宋_GB2312" w:cs="仿宋"/>
        </w:rPr>
      </w:pPr>
      <w:r>
        <w:rPr>
          <w:rFonts w:hint="eastAsia" w:ascii="仿宋_GB2312" w:hAnsi="仿宋" w:eastAsia="仿宋_GB2312" w:cs="仿宋"/>
        </w:rPr>
        <w:t>推进数字达茂建设，</w:t>
      </w:r>
      <w:r>
        <w:rPr>
          <w:rFonts w:hint="eastAsia" w:ascii="仿宋_GB2312" w:hAnsi="仿宋" w:eastAsia="仿宋_GB2312" w:cs="仿宋"/>
          <w:lang w:eastAsia="zh-CN"/>
        </w:rPr>
        <w:t>充分发挥清洁能源优势，引进国家文化大数据服务中心，</w:t>
      </w:r>
      <w:r>
        <w:rPr>
          <w:rFonts w:hint="eastAsia" w:ascii="仿宋_GB2312" w:hAnsi="仿宋" w:eastAsia="仿宋_GB2312" w:cs="仿宋"/>
        </w:rPr>
        <w:t>大力发展云计算</w:t>
      </w:r>
      <w:r>
        <w:rPr>
          <w:rFonts w:hint="eastAsia" w:ascii="仿宋_GB2312" w:hAnsi="仿宋" w:eastAsia="仿宋_GB2312" w:cs="仿宋"/>
          <w:lang w:eastAsia="zh-CN"/>
        </w:rPr>
        <w:t>，建设绿色算</w:t>
      </w:r>
      <w:r>
        <w:rPr>
          <w:rFonts w:hint="eastAsia" w:ascii="仿宋_GB2312" w:hAnsi="仿宋" w:eastAsia="仿宋_GB2312" w:cs="仿宋"/>
          <w:lang w:val="en-US" w:eastAsia="zh-CN"/>
        </w:rPr>
        <w:t>力</w:t>
      </w:r>
      <w:r>
        <w:rPr>
          <w:rFonts w:hint="eastAsia" w:ascii="仿宋_GB2312" w:hAnsi="仿宋" w:eastAsia="仿宋_GB2312" w:cs="仿宋"/>
          <w:lang w:eastAsia="zh-CN"/>
        </w:rPr>
        <w:t>中心</w:t>
      </w:r>
      <w:r>
        <w:rPr>
          <w:rFonts w:hint="eastAsia" w:ascii="仿宋_GB2312" w:hAnsi="仿宋" w:eastAsia="仿宋_GB2312" w:cs="仿宋"/>
        </w:rPr>
        <w:t>，持续提升算力，形成建设有序、布局合理、规模适度、保障有力、绿色集约的数据中心发展格局，带动以大数据、云计算为基础的一大批数字产业集群建设，推进数字产业化。</w:t>
      </w:r>
    </w:p>
    <w:p w14:paraId="678F29F6">
      <w:pPr>
        <w:pStyle w:val="132"/>
        <w:tabs>
          <w:tab w:val="left" w:pos="1299"/>
        </w:tabs>
        <w:spacing w:line="640" w:lineRule="exact"/>
        <w:ind w:firstLine="627" w:firstLineChars="196"/>
        <w:rPr>
          <w:rFonts w:ascii="仿宋_GB2312" w:hAnsi="仿宋" w:eastAsia="仿宋_GB2312" w:cs="仿宋"/>
          <w:lang w:eastAsia="zh-CN"/>
        </w:rPr>
      </w:pPr>
      <w:r>
        <w:rPr>
          <w:rFonts w:hint="eastAsia" w:ascii="仿宋_GB2312" w:hAnsi="仿宋" w:eastAsia="仿宋_GB2312" w:cs="仿宋"/>
          <w:lang w:eastAsia="zh-CN"/>
        </w:rPr>
        <w:t>推进产业数字化转型。加快产业数字化、网络化、智能化步伐，支持企业数字化转型，促进数字经济与实体经济融通发展。支持重点领域企业开展智能化生产、网络化协调、个性化定制、数字化管理，支持重点企业关键生产环节的数字化转型。加快农业农村数字化进程，建设数字乡村，实现数据、宽带千兆进村、百兆入户。</w:t>
      </w:r>
    </w:p>
    <w:p w14:paraId="4B33D178">
      <w:pPr>
        <w:pStyle w:val="132"/>
        <w:tabs>
          <w:tab w:val="left" w:pos="1299"/>
        </w:tabs>
        <w:spacing w:line="640" w:lineRule="exact"/>
        <w:ind w:firstLine="627" w:firstLineChars="196"/>
        <w:rPr>
          <w:rFonts w:ascii="仿宋_GB2312" w:hAnsi="仿宋" w:eastAsia="仿宋_GB2312" w:cs="仿宋"/>
          <w:lang w:eastAsia="zh-CN"/>
        </w:rPr>
      </w:pPr>
      <w:r>
        <w:rPr>
          <w:rFonts w:hint="eastAsia" w:ascii="仿宋_GB2312" w:hAnsi="仿宋" w:eastAsia="仿宋_GB2312" w:cs="仿宋"/>
          <w:lang w:eastAsia="zh-CN"/>
        </w:rPr>
        <w:t>建设数字化治理体系。加快数字社会、数字政府建设，全面推进数字化技术，在政府协同办公、城市运行、政务服务、社会治理、金融服务、生态保护、交通运输等领域的应用。推进智慧园区、智慧城市、智慧社区等建设，实现公共服务和社会管理的数字化、网络化。</w:t>
      </w:r>
      <w:r>
        <w:rPr>
          <w:rFonts w:hint="eastAsia" w:ascii="仿宋_GB2312" w:hAnsi="仿宋" w:eastAsia="仿宋_GB2312" w:cs="仿宋"/>
        </w:rPr>
        <w:t>积极倡导和引领智慧生活方式。</w:t>
      </w:r>
    </w:p>
    <w:p w14:paraId="534AC809">
      <w:pPr>
        <w:pStyle w:val="132"/>
        <w:tabs>
          <w:tab w:val="left" w:pos="1299"/>
        </w:tabs>
        <w:spacing w:line="640" w:lineRule="exact"/>
        <w:ind w:firstLine="627" w:firstLineChars="196"/>
        <w:rPr>
          <w:rFonts w:ascii="仿宋_GB2312" w:hAnsi="仿宋" w:eastAsia="仿宋_GB2312" w:cs="仿宋"/>
          <w:lang w:eastAsia="zh-CN"/>
        </w:rPr>
      </w:pPr>
      <w:r>
        <w:rPr>
          <w:rFonts w:hint="eastAsia" w:ascii="仿宋_GB2312" w:hAnsi="仿宋" w:eastAsia="仿宋_GB2312" w:cs="仿宋"/>
          <w:lang w:eastAsia="zh-CN"/>
        </w:rPr>
        <w:t>完善数字经济基础设施。聚焦</w:t>
      </w:r>
      <w:r>
        <w:rPr>
          <w:rFonts w:hint="eastAsia" w:ascii="仿宋_GB2312" w:hAnsi="仿宋" w:eastAsia="仿宋_GB2312" w:cs="仿宋"/>
          <w:lang w:val="en-US" w:eastAsia="zh-CN"/>
        </w:rPr>
        <w:t>5G、工业互联网、大数据等重点领域，加快构建“泛在互联、全域感知、数据融合、智慧协同、安全可靠”的新型数字基础设施体系。加快5G独立组网建设，实现城区及工业园区、口岸、旅游景区的全覆盖。大幅提升农村牧区网络建设水平，增加4G网络覆盖广度和深度。</w:t>
      </w:r>
    </w:p>
    <w:p w14:paraId="39800DBA">
      <w:pPr>
        <w:pStyle w:val="132"/>
        <w:tabs>
          <w:tab w:val="left" w:pos="1299"/>
        </w:tabs>
        <w:spacing w:line="240" w:lineRule="auto"/>
        <w:ind w:firstLine="627" w:firstLineChars="196"/>
        <w:rPr>
          <w:rFonts w:ascii="仿宋_GB2312" w:hAnsi="仿宋" w:eastAsia="仿宋_GB2312" w:cs="仿宋"/>
          <w:lang w:eastAsia="zh-CN"/>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7C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8522" w:type="dxa"/>
          </w:tcPr>
          <w:p w14:paraId="705958CC">
            <w:pPr>
              <w:pStyle w:val="135"/>
              <w:spacing w:before="240"/>
              <w:ind w:firstLine="482"/>
              <w:jc w:val="center"/>
              <w:rPr>
                <w:b/>
                <w:color w:val="auto"/>
              </w:rPr>
            </w:pPr>
            <w:r>
              <w:rPr>
                <w:rFonts w:hint="eastAsia"/>
                <w:b/>
                <w:color w:val="auto"/>
              </w:rPr>
              <w:t>专栏10 大数据产业</w:t>
            </w:r>
          </w:p>
          <w:p w14:paraId="29A109EB">
            <w:pPr>
              <w:pStyle w:val="135"/>
              <w:rPr>
                <w:rFonts w:eastAsia="仿宋_GB2312"/>
                <w:color w:val="auto"/>
              </w:rPr>
            </w:pPr>
            <w:r>
              <w:rPr>
                <w:rFonts w:hint="eastAsia" w:ascii="华文宋体" w:hAnsi="华文宋体" w:eastAsia="华文宋体" w:cs="华文宋体"/>
                <w:color w:val="auto"/>
                <w:szCs w:val="21"/>
              </w:rPr>
              <w:t>大数据中心建设项目、工业互联网公共服务平台、互联网+政务服务平台建设项目、智慧城市、智慧政务、智慧文旅、智慧金融、智慧物流、智慧园区、智慧交通项目等。</w:t>
            </w:r>
          </w:p>
        </w:tc>
      </w:tr>
    </w:tbl>
    <w:p w14:paraId="4C130CC5">
      <w:pPr>
        <w:pStyle w:val="4"/>
      </w:pPr>
      <w:bookmarkStart w:id="30" w:name="_Toc71878870"/>
      <w:r>
        <w:rPr>
          <w:rFonts w:hint="eastAsia"/>
        </w:rPr>
        <w:t>第三节 推动工业园区改造升级</w:t>
      </w:r>
      <w:bookmarkEnd w:id="30"/>
    </w:p>
    <w:p w14:paraId="5EAD42E6">
      <w:pPr>
        <w:pStyle w:val="2"/>
        <w:widowControl w:val="0"/>
        <w:spacing w:after="0" w:line="640" w:lineRule="exact"/>
        <w:jc w:val="both"/>
        <w:rPr>
          <w:rFonts w:ascii="仿宋_GB2312" w:hAnsi="Times New Roman" w:eastAsia="仿宋_GB2312"/>
          <w:bCs/>
          <w:color w:val="000000"/>
          <w:szCs w:val="32"/>
        </w:rPr>
      </w:pPr>
      <w:r>
        <w:rPr>
          <w:rFonts w:hint="eastAsia" w:ascii="Times New Roman" w:hAnsi="Times New Roman" w:eastAsia="仿宋_GB2312"/>
          <w:b/>
          <w:bCs/>
          <w:color w:val="000000"/>
          <w:szCs w:val="32"/>
        </w:rPr>
        <w:t>打造</w:t>
      </w:r>
      <w:r>
        <w:rPr>
          <w:rFonts w:ascii="Times New Roman" w:hAnsi="Times New Roman" w:eastAsia="仿宋_GB2312"/>
          <w:b/>
          <w:bCs/>
          <w:color w:val="000000"/>
          <w:szCs w:val="32"/>
        </w:rPr>
        <w:t>千亿元级工业园区。</w:t>
      </w:r>
      <w:r>
        <w:rPr>
          <w:rFonts w:ascii="Times New Roman" w:hAnsi="Times New Roman" w:eastAsia="仿宋_GB2312"/>
          <w:color w:val="000000"/>
          <w:kern w:val="2"/>
          <w:szCs w:val="32"/>
        </w:rPr>
        <w:t>坚持把园区作为高质量发展的主战场，实施</w:t>
      </w:r>
      <w:r>
        <w:rPr>
          <w:rFonts w:ascii="Times New Roman" w:hAnsi="Times New Roman" w:eastAsia="仿宋_GB2312"/>
          <w:color w:val="000000"/>
          <w:szCs w:val="32"/>
        </w:rPr>
        <w:t>智慧园区工程，</w:t>
      </w:r>
      <w:r>
        <w:rPr>
          <w:rFonts w:ascii="Times New Roman" w:hAnsi="Times New Roman" w:eastAsia="仿宋_GB2312"/>
          <w:color w:val="000000"/>
          <w:kern w:val="2"/>
          <w:szCs w:val="32"/>
        </w:rPr>
        <w:t>优化产业发展空间，提高产业承载能力，推进产业集聚发展，实现园区全面振兴。</w:t>
      </w:r>
      <w:r>
        <w:rPr>
          <w:rFonts w:ascii="Times New Roman" w:hAnsi="Times New Roman" w:eastAsia="仿宋_GB2312"/>
          <w:bCs/>
          <w:color w:val="000000"/>
          <w:kern w:val="2"/>
          <w:szCs w:val="32"/>
        </w:rPr>
        <w:t>要培育优势产业。</w:t>
      </w:r>
      <w:r>
        <w:rPr>
          <w:rFonts w:ascii="Times New Roman" w:hAnsi="Times New Roman" w:eastAsia="仿宋_GB2312"/>
          <w:color w:val="000000"/>
          <w:kern w:val="2"/>
          <w:szCs w:val="32"/>
        </w:rPr>
        <w:t>精准对接金石资源、浙江永和等企业，实</w:t>
      </w:r>
      <w:r>
        <w:rPr>
          <w:rFonts w:hint="eastAsia" w:ascii="仿宋_GB2312" w:hAnsi="Times New Roman" w:eastAsia="仿宋_GB2312"/>
          <w:color w:val="000000"/>
          <w:kern w:val="2"/>
          <w:szCs w:val="32"/>
        </w:rPr>
        <w:t>施80</w:t>
      </w:r>
      <w:r>
        <w:rPr>
          <w:rFonts w:ascii="Times New Roman" w:hAnsi="Times New Roman" w:eastAsia="仿宋_GB2312"/>
          <w:color w:val="000000"/>
          <w:kern w:val="2"/>
          <w:szCs w:val="32"/>
        </w:rPr>
        <w:t>万吨萤石精粉、电子极氢氟酸、有机无机氟材料、石墨新材料、固废资源综合利用等项目，引导企业向园区集聚，构筑氟材料、石墨新材料等优势产业集群。</w:t>
      </w:r>
      <w:r>
        <w:rPr>
          <w:rFonts w:ascii="Times New Roman" w:hAnsi="Times New Roman" w:eastAsia="仿宋_GB2312"/>
          <w:bCs/>
          <w:color w:val="000000"/>
          <w:kern w:val="2"/>
          <w:szCs w:val="32"/>
        </w:rPr>
        <w:t>转换发展动能。</w:t>
      </w:r>
      <w:r>
        <w:rPr>
          <w:rFonts w:ascii="Times New Roman" w:hAnsi="Times New Roman" w:eastAsia="仿宋_GB2312"/>
          <w:color w:val="000000"/>
          <w:kern w:val="2"/>
          <w:szCs w:val="32"/>
        </w:rPr>
        <w:t>依托清洁能源优势，建设巴润工业园区虚拟电厂，加快铁矿采选、稀土冶炼等传统产业智能化、绿色化改造，率先建设近零碳产业园。围绕新能源、新材料、新工艺、新技术，推动现有企业增资扩股，积极引进龙头企业、行业冠军做大盘子、做长链条、做优品质，</w:t>
      </w:r>
      <w:r>
        <w:rPr>
          <w:rFonts w:hint="eastAsia" w:ascii="仿宋_GB2312" w:hAnsi="Times New Roman" w:eastAsia="仿宋_GB2312"/>
          <w:color w:val="000000"/>
          <w:kern w:val="2"/>
          <w:szCs w:val="32"/>
        </w:rPr>
        <w:t>到2025年园区产值达到200亿元左右，到2030年产值达到1000亿元左右。</w:t>
      </w:r>
    </w:p>
    <w:p w14:paraId="73758424">
      <w:pPr>
        <w:spacing w:line="640" w:lineRule="exact"/>
        <w:ind w:firstLine="643" w:firstLineChars="200"/>
        <w:rPr>
          <w:rFonts w:ascii="仿宋_GB2312" w:hAnsi="仿宋" w:eastAsia="仿宋_GB2312" w:cs="仿宋_GB2312"/>
          <w:sz w:val="32"/>
          <w:szCs w:val="32"/>
        </w:rPr>
      </w:pPr>
      <w:r>
        <w:rPr>
          <w:rFonts w:hint="eastAsia" w:ascii="仿宋_GB2312" w:hAnsi="仿宋" w:eastAsia="仿宋_GB2312" w:cs="楷体"/>
          <w:b/>
          <w:kern w:val="2"/>
          <w:sz w:val="32"/>
          <w:szCs w:val="32"/>
        </w:rPr>
        <w:t>完善园区基础设施。</w:t>
      </w:r>
      <w:r>
        <w:rPr>
          <w:rFonts w:hint="eastAsia" w:ascii="仿宋_GB2312" w:hAnsi="仿宋" w:eastAsia="仿宋_GB2312" w:cs="仿宋_GB2312"/>
          <w:sz w:val="32"/>
          <w:szCs w:val="32"/>
        </w:rPr>
        <w:t>通过争取地方债券资金和</w:t>
      </w:r>
      <w:r>
        <w:rPr>
          <w:rFonts w:hint="eastAsia" w:ascii="仿宋_GB2312" w:hAnsi="仿宋" w:eastAsia="仿宋_GB2312" w:cs="仿宋"/>
          <w:bCs/>
          <w:sz w:val="32"/>
          <w:szCs w:val="32"/>
        </w:rPr>
        <w:t>设立工业园区发展引导资金</w:t>
      </w:r>
      <w:r>
        <w:rPr>
          <w:rFonts w:hint="eastAsia" w:ascii="仿宋_GB2312" w:hAnsi="仿宋" w:eastAsia="仿宋_GB2312" w:cs="仿宋_GB2312"/>
          <w:sz w:val="32"/>
          <w:szCs w:val="32"/>
        </w:rPr>
        <w:t>等方式，建设巴润钢铁稀土原料加工园固废渣场、污水处理厂、新型园区污水处理厂、中水输送项目、固废渣场、标准化厂房、双创服务中心、道路改造提升等项目，实施天然气集中供热、智慧园区建设工程，实现园区基础设施“八通一平”,全面</w:t>
      </w:r>
      <w:r>
        <w:rPr>
          <w:rFonts w:hint="eastAsia" w:ascii="仿宋_GB2312" w:hAnsi="仿宋" w:eastAsia="仿宋_GB2312" w:cs="仿宋"/>
          <w:sz w:val="32"/>
          <w:szCs w:val="32"/>
        </w:rPr>
        <w:t>提升园区智能化管理、服务水平</w:t>
      </w:r>
      <w:r>
        <w:rPr>
          <w:rFonts w:hint="eastAsia" w:ascii="仿宋_GB2312" w:hAnsi="仿宋" w:eastAsia="仿宋_GB2312" w:cs="仿宋_GB2312"/>
          <w:sz w:val="32"/>
          <w:szCs w:val="32"/>
        </w:rPr>
        <w:t>。</w:t>
      </w:r>
    </w:p>
    <w:p w14:paraId="716F1688">
      <w:pPr>
        <w:spacing w:line="640" w:lineRule="exact"/>
        <w:ind w:firstLine="643" w:firstLineChars="200"/>
        <w:rPr>
          <w:rFonts w:ascii="仿宋_GB2312" w:hAnsi="仿宋" w:eastAsia="仿宋_GB2312" w:cs="仿宋_GB2312"/>
          <w:sz w:val="32"/>
          <w:szCs w:val="32"/>
        </w:rPr>
      </w:pPr>
      <w:r>
        <w:rPr>
          <w:rFonts w:hint="eastAsia" w:ascii="仿宋_GB2312" w:hAnsi="楷体" w:eastAsia="仿宋_GB2312" w:cstheme="majorBidi"/>
          <w:b/>
          <w:bCs/>
          <w:sz w:val="32"/>
          <w:szCs w:val="32"/>
        </w:rPr>
        <w:t>创新工业园区管理模式。</w:t>
      </w:r>
      <w:r>
        <w:rPr>
          <w:rFonts w:ascii="Times New Roman" w:hAnsi="Times New Roman" w:eastAsia="仿宋_GB2312"/>
          <w:bCs/>
          <w:color w:val="000000"/>
          <w:sz w:val="32"/>
          <w:szCs w:val="32"/>
        </w:rPr>
        <w:t>建立以土地产出率、节能减排、项目引资、投资贡献和就业安置为重点的考核评价指标体系和企业退出制度，</w:t>
      </w:r>
      <w:r>
        <w:rPr>
          <w:rFonts w:ascii="Times New Roman" w:hAnsi="Times New Roman" w:eastAsia="仿宋_GB2312"/>
          <w:color w:val="000000"/>
          <w:kern w:val="2"/>
          <w:sz w:val="32"/>
          <w:szCs w:val="32"/>
        </w:rPr>
        <w:t>加快淘汰落后产能企业，</w:t>
      </w:r>
      <w:r>
        <w:rPr>
          <w:rFonts w:ascii="Times New Roman" w:hAnsi="Times New Roman" w:eastAsia="仿宋_GB2312"/>
          <w:bCs/>
          <w:color w:val="000000"/>
          <w:sz w:val="32"/>
          <w:szCs w:val="32"/>
        </w:rPr>
        <w:t>倒逼园区处置低效用地，</w:t>
      </w:r>
      <w:r>
        <w:rPr>
          <w:rFonts w:ascii="Times New Roman" w:hAnsi="Times New Roman" w:eastAsia="仿宋_GB2312"/>
          <w:color w:val="000000"/>
          <w:kern w:val="2"/>
          <w:sz w:val="32"/>
          <w:szCs w:val="32"/>
        </w:rPr>
        <w:t>实现“腾笼换鸟”</w:t>
      </w:r>
      <w:r>
        <w:rPr>
          <w:rFonts w:ascii="Times New Roman" w:hAnsi="Times New Roman" w:eastAsia="仿宋_GB2312"/>
          <w:bCs/>
          <w:color w:val="000000"/>
          <w:sz w:val="32"/>
          <w:szCs w:val="32"/>
        </w:rPr>
        <w:t>。</w:t>
      </w:r>
      <w:r>
        <w:rPr>
          <w:rFonts w:hint="eastAsia" w:ascii="仿宋_GB2312" w:hAnsi="楷体" w:eastAsia="仿宋_GB2312" w:cstheme="majorBidi"/>
          <w:bCs/>
          <w:sz w:val="32"/>
          <w:szCs w:val="32"/>
        </w:rPr>
        <w:t>探索共建“飞地园区”等。引入市场化、专业化工业园区建设管理运营招商团队，建立园区发展激励机制，提升园区运行效率。</w:t>
      </w:r>
    </w:p>
    <w:p w14:paraId="4BDE4A25">
      <w:pPr>
        <w:spacing w:line="640" w:lineRule="exact"/>
        <w:rPr>
          <w:rFonts w:ascii="楷体" w:hAnsi="楷体" w:eastAsia="楷体" w:cs="楷体"/>
          <w:sz w:val="32"/>
          <w:szCs w:val="32"/>
        </w:rPr>
      </w:pPr>
    </w:p>
    <w:tbl>
      <w:tblPr>
        <w:tblStyle w:val="25"/>
        <w:tblpPr w:leftFromText="180" w:rightFromText="180" w:vertAnchor="text" w:horzAnchor="page" w:tblpX="1935" w:tblpY="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70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8522" w:type="dxa"/>
          </w:tcPr>
          <w:p w14:paraId="77F9E267">
            <w:pPr>
              <w:pStyle w:val="135"/>
              <w:spacing w:before="240"/>
              <w:ind w:firstLine="482"/>
              <w:jc w:val="center"/>
              <w:rPr>
                <w:b/>
                <w:color w:val="auto"/>
              </w:rPr>
            </w:pPr>
            <w:r>
              <w:rPr>
                <w:rFonts w:hint="eastAsia"/>
                <w:b/>
                <w:color w:val="auto"/>
              </w:rPr>
              <w:t>专栏11  工业园区建设</w:t>
            </w:r>
          </w:p>
          <w:p w14:paraId="389E498A">
            <w:pPr>
              <w:pStyle w:val="135"/>
              <w:rPr>
                <w:color w:val="auto"/>
              </w:rPr>
            </w:pPr>
            <w:r>
              <w:rPr>
                <w:rFonts w:hint="eastAsia"/>
                <w:color w:val="auto"/>
              </w:rPr>
              <w:t>工业园区环保设施建设项目、新型工业园污水处理厂建设项目、园区固废处理厂项目、工业园公共渣库建设项目、工业园道路改造提升建设项目、双创服务中心、工业园标准化厂房建设项目、中水入园工程项目、巴润钢铁稀土原料加工园污水处理建设项目、园区—满都拉输水项目、垃圾焚烧发电项目等。</w:t>
            </w:r>
          </w:p>
        </w:tc>
      </w:tr>
    </w:tbl>
    <w:p w14:paraId="7C1F89FC">
      <w:pPr>
        <w:spacing w:line="640" w:lineRule="exact"/>
        <w:rPr>
          <w:sz w:val="36"/>
          <w:szCs w:val="36"/>
          <w:lang w:val="zh-CN"/>
        </w:rPr>
      </w:pPr>
    </w:p>
    <w:p w14:paraId="6E7D2EC9">
      <w:pPr>
        <w:pStyle w:val="3"/>
      </w:pPr>
      <w:bookmarkStart w:id="31" w:name="_Toc71878871"/>
      <w:r>
        <w:rPr>
          <w:rFonts w:hint="eastAsia"/>
        </w:rPr>
        <w:t>第七章 提升品质 加快发展现代服务业</w:t>
      </w:r>
      <w:bookmarkEnd w:id="31"/>
    </w:p>
    <w:p w14:paraId="4E44A9E0">
      <w:pPr>
        <w:pStyle w:val="22"/>
        <w:spacing w:beforeAutospacing="0" w:afterAutospacing="0" w:line="640" w:lineRule="exact"/>
        <w:ind w:firstLine="640" w:firstLineChars="200"/>
        <w:rPr>
          <w:rFonts w:ascii="仿宋_GB2312" w:hAnsi="仿宋" w:eastAsia="仿宋_GB2312" w:cs="仿宋"/>
          <w:sz w:val="32"/>
          <w:szCs w:val="32"/>
        </w:rPr>
      </w:pPr>
      <w:r>
        <w:rPr>
          <w:rFonts w:hint="eastAsia" w:ascii="等线" w:hAnsi="等线" w:eastAsia="仿宋_GB2312"/>
          <w:kern w:val="2"/>
          <w:sz w:val="32"/>
        </w:rPr>
        <w:t>适应生活生产新需求，实施服务业提质行动，加快推进传统服务业升级，大力发展新兴服务业，推动生产性服务业向专业化和价值链高端延伸，推动生活性服务业向高品质和多样化升级，构建优质高效、充满活力、竞争力强的新兴服务业体系。</w:t>
      </w:r>
    </w:p>
    <w:p w14:paraId="153F886F">
      <w:pPr>
        <w:pStyle w:val="4"/>
      </w:pPr>
      <w:bookmarkStart w:id="32" w:name="_Toc71878872"/>
      <w:r>
        <w:rPr>
          <w:rFonts w:hint="eastAsia"/>
        </w:rPr>
        <w:t>第一节 发展高品质生活服务业</w:t>
      </w:r>
      <w:bookmarkEnd w:id="32"/>
    </w:p>
    <w:p w14:paraId="4902B020">
      <w:pPr>
        <w:widowControl w:val="0"/>
        <w:spacing w:line="640" w:lineRule="exact"/>
        <w:ind w:firstLine="643" w:firstLineChars="200"/>
        <w:jc w:val="both"/>
        <w:rPr>
          <w:rFonts w:ascii="仿宋_GB2312" w:hAnsi="仿宋" w:eastAsia="仿宋_GB2312" w:cs="仿宋"/>
          <w:bCs/>
          <w:sz w:val="32"/>
          <w:szCs w:val="32"/>
        </w:rPr>
      </w:pPr>
      <w:r>
        <w:rPr>
          <w:rFonts w:hint="eastAsia" w:ascii="仿宋_GB2312" w:hAnsi="仿宋" w:eastAsia="仿宋_GB2312" w:cs="仿宋"/>
          <w:b/>
          <w:sz w:val="32"/>
          <w:szCs w:val="32"/>
        </w:rPr>
        <w:t>加快发展商贸服务业。</w:t>
      </w:r>
      <w:r>
        <w:rPr>
          <w:rFonts w:hint="eastAsia" w:ascii="仿宋_GB2312" w:hAnsi="仿宋" w:eastAsia="仿宋_GB2312" w:cs="仿宋"/>
          <w:bCs/>
          <w:sz w:val="32"/>
          <w:szCs w:val="32"/>
        </w:rPr>
        <w:t>以满足人民群众消费升级需求为导向，丰富健康、医养、家政、娱乐、消费、物业、体育等服务产品供给，不断增加消费内容，提高服务层次水平。调整优化服务业布局和业态结构，增强商务功能和集聚辐射能力，加快新商贸业态的引进，培育综合性、带动力强、就业容量大的服务业大项目。建成运营哈萨尔酒店，引进建设连锁餐饮酒店，创新发展休闲餐饮、连锁餐饮、餐饮概念店等特色餐饮，</w:t>
      </w:r>
      <w:r>
        <w:rPr>
          <w:rFonts w:hint="eastAsia" w:ascii="仿宋_GB2312" w:hAnsi="仿宋" w:eastAsia="仿宋_GB2312" w:cs="仿宋"/>
          <w:sz w:val="32"/>
          <w:szCs w:val="32"/>
        </w:rPr>
        <w:t>谋划蒙元文化休闲娱乐购物中心等项目建设。</w:t>
      </w:r>
      <w:r>
        <w:rPr>
          <w:rFonts w:hint="eastAsia" w:ascii="仿宋_GB2312" w:hAnsi="仿宋" w:eastAsia="仿宋_GB2312" w:cs="仿宋"/>
          <w:bCs/>
          <w:sz w:val="32"/>
          <w:szCs w:val="32"/>
        </w:rPr>
        <w:t>实施乡镇商贸综合体建设等项目，加快传统商贸服务业改造提升步伐，形成以购物中心为骨干，以超市、专卖店、直销店、便民店等为特色的多元化、多层次的销售网络。创新商业步行街、北疆市场等商业模式，打造中心商贸区。加强质量安全和诚信体系建设，努力打造安心、放心、诚信有序的消费环境。</w:t>
      </w:r>
    </w:p>
    <w:p w14:paraId="0F999AC3">
      <w:pPr>
        <w:widowControl w:val="0"/>
        <w:spacing w:line="64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打造健康服务业，适应健康服务快速发展的新趋势，挖掘自然生态和文化优势，以健康达茂建设为切入点，发展健康旅游、健康养生所、娱乐健身馆等项目。提升整体医疗卫生能力，建成区域医疗中心和公共卫生应急救治中心，完善基层医疗机构标准化建设。大力发展医药产业，发挥黄芪种植优势，建设中药材加工基地。</w:t>
      </w:r>
    </w:p>
    <w:tbl>
      <w:tblPr>
        <w:tblStyle w:val="24"/>
        <w:tblpPr w:leftFromText="180" w:rightFromText="180" w:vertAnchor="text" w:horzAnchor="page" w:tblpX="1926" w:tblpY="469"/>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14:paraId="5DA2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8260" w:type="dxa"/>
          </w:tcPr>
          <w:p w14:paraId="4220B0E4">
            <w:pPr>
              <w:pStyle w:val="135"/>
              <w:spacing w:before="240"/>
              <w:ind w:firstLine="482"/>
              <w:jc w:val="center"/>
              <w:rPr>
                <w:b/>
                <w:color w:val="auto"/>
              </w:rPr>
            </w:pPr>
            <w:r>
              <w:rPr>
                <w:rFonts w:hint="eastAsia"/>
                <w:b/>
                <w:color w:val="auto"/>
              </w:rPr>
              <w:t>专栏12 生活性服务业</w:t>
            </w:r>
          </w:p>
          <w:p w14:paraId="425E20D4">
            <w:pPr>
              <w:pStyle w:val="135"/>
              <w:rPr>
                <w:rFonts w:ascii="宋体" w:hAnsi="宋体"/>
                <w:color w:val="auto"/>
              </w:rPr>
            </w:pPr>
            <w:r>
              <w:rPr>
                <w:rFonts w:hint="eastAsia" w:ascii="宋体" w:hAnsi="宋体"/>
                <w:color w:val="auto"/>
              </w:rPr>
              <w:t>引进和培育大型连锁超市、连锁餐饮店、物流配送公司、中介企业、家政服务公司；建设农家店、电子商务企业、星级酒店、大型蔬菜交易市场及养老、体育等其它服务等项目。</w:t>
            </w:r>
          </w:p>
        </w:tc>
      </w:tr>
    </w:tbl>
    <w:p w14:paraId="6CBCE435">
      <w:pPr>
        <w:pStyle w:val="4"/>
      </w:pPr>
      <w:bookmarkStart w:id="33" w:name="_Toc71878873"/>
      <w:r>
        <w:rPr>
          <w:rFonts w:hint="eastAsia"/>
        </w:rPr>
        <w:t>第二节 发展专业化生产性服务业</w:t>
      </w:r>
      <w:bookmarkEnd w:id="33"/>
    </w:p>
    <w:p w14:paraId="5DD2E588">
      <w:pPr>
        <w:pStyle w:val="117"/>
        <w:spacing w:after="0" w:line="640" w:lineRule="exact"/>
        <w:ind w:firstLine="640" w:firstLineChars="200"/>
        <w:rPr>
          <w:rFonts w:ascii="仿宋_GB2312" w:hAnsi="仿宋" w:eastAsia="仿宋_GB2312" w:cs="仿宋"/>
          <w:bCs/>
          <w:color w:val="FF0000"/>
          <w:kern w:val="0"/>
          <w:sz w:val="32"/>
          <w:szCs w:val="32"/>
        </w:rPr>
      </w:pPr>
      <w:r>
        <w:rPr>
          <w:rFonts w:hint="eastAsia" w:ascii="仿宋_GB2312" w:hAnsi="仿宋" w:eastAsia="仿宋_GB2312" w:cs="仿宋"/>
          <w:bCs/>
          <w:kern w:val="0"/>
          <w:sz w:val="32"/>
          <w:szCs w:val="32"/>
        </w:rPr>
        <w:t>以产业转型升级需求为导向，加快商贸、物流、金融、检验检测认证、服务外包、节能环保、人力资源、农牧业服务等生产性服务业的发展。</w:t>
      </w:r>
    </w:p>
    <w:p w14:paraId="2D8619F6">
      <w:pPr>
        <w:pStyle w:val="117"/>
        <w:spacing w:after="0" w:line="64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加快物流节点城镇建设。</w:t>
      </w:r>
      <w:r>
        <w:rPr>
          <w:rFonts w:hint="eastAsia" w:ascii="仿宋_GB2312" w:hAnsi="仿宋" w:eastAsia="仿宋_GB2312" w:cs="仿宋"/>
          <w:bCs/>
          <w:sz w:val="32"/>
          <w:szCs w:val="32"/>
        </w:rPr>
        <w:t>依托满都拉口岸对外贸易，积极推进中蒙互市贸易区建设、保税物流园区建设等项目，发展壮大口岸公路铁路物流园区，做强双边商贸流通业，</w:t>
      </w:r>
      <w:r>
        <w:rPr>
          <w:rFonts w:hint="eastAsia" w:ascii="仿宋_GB2312" w:hAnsi="仿宋" w:eastAsia="仿宋_GB2312" w:cs="仿宋"/>
          <w:bCs/>
          <w:kern w:val="0"/>
          <w:sz w:val="32"/>
          <w:szCs w:val="32"/>
        </w:rPr>
        <w:t>带动口岸餐饮、商贸、机修和物流业快速壮大。</w:t>
      </w:r>
    </w:p>
    <w:p w14:paraId="1E988771">
      <w:pPr>
        <w:pStyle w:val="117"/>
        <w:spacing w:after="0" w:line="640" w:lineRule="exact"/>
        <w:ind w:firstLine="640" w:firstLineChars="200"/>
        <w:rPr>
          <w:rFonts w:ascii="仿宋_GB2312" w:hAnsi="仿宋" w:eastAsia="仿宋_GB2312" w:cs="仿宋"/>
          <w:bCs/>
          <w:kern w:val="0"/>
          <w:sz w:val="32"/>
          <w:szCs w:val="32"/>
          <w:lang w:val="zh-CN"/>
        </w:rPr>
      </w:pPr>
      <w:r>
        <w:rPr>
          <w:rFonts w:hint="eastAsia" w:ascii="仿宋_GB2312" w:hAnsi="仿宋" w:eastAsia="仿宋_GB2312" w:cs="仿宋"/>
          <w:bCs/>
          <w:kern w:val="0"/>
          <w:sz w:val="32"/>
          <w:szCs w:val="32"/>
        </w:rPr>
        <w:t>构建安全高效物流网络。加强配送中心、冷链物流中心和农村牧区双向流通综合物流平台建设，大力培育第三方物流、连锁配送企业。促进物流业、制造业、农牧业融合发展，积极发展冷链物流、智慧物流、应急物流新业态。依托农畜产品产业基地，建设农畜产品冷链物流基地。</w:t>
      </w:r>
      <w:r>
        <w:rPr>
          <w:rFonts w:hint="eastAsia" w:ascii="仿宋_GB2312" w:hAnsi="仿宋" w:eastAsia="仿宋_GB2312" w:cs="仿宋"/>
          <w:bCs/>
          <w:kern w:val="0"/>
          <w:sz w:val="32"/>
          <w:szCs w:val="32"/>
          <w:lang w:val="zh-CN"/>
        </w:rPr>
        <w:t>以百灵工业园区已有的设施为基础，建设集仓储中心、交易配送中心、信息服务中心、后勤服务中心为一体的仓储物流园区。</w:t>
      </w:r>
    </w:p>
    <w:p w14:paraId="0E9D7F7A">
      <w:pPr>
        <w:pStyle w:val="117"/>
        <w:spacing w:after="0" w:line="640" w:lineRule="exact"/>
        <w:ind w:firstLine="640" w:firstLineChars="200"/>
        <w:rPr>
          <w:rFonts w:ascii="仿宋_GB2312" w:hAnsi="仿宋" w:eastAsia="仿宋_GB2312" w:cs="仿宋"/>
          <w:bCs/>
          <w:kern w:val="0"/>
          <w:sz w:val="32"/>
          <w:szCs w:val="32"/>
          <w:lang w:val="zh-CN"/>
        </w:rPr>
      </w:pPr>
      <w:r>
        <w:rPr>
          <w:rFonts w:hint="eastAsia" w:ascii="仿宋_GB2312" w:hAnsi="仿宋" w:eastAsia="仿宋_GB2312" w:cs="仿宋"/>
          <w:bCs/>
          <w:kern w:val="0"/>
          <w:sz w:val="32"/>
          <w:szCs w:val="32"/>
          <w:lang w:val="zh-CN"/>
        </w:rPr>
        <w:t>加快发展金融产业。切实发挥好金融“血脉”作用，针对达茂旗新能源、口岸经济等产业特点，加快引进大型商业银行、信托、风投、基金等金融机构，并开展深化合作，壮大金融产业规模。支持蒙商银行、信用联社等驻旗金融机构健康发展。丰富金融产品供给，引导金融机构聚焦“三农”和“小微”</w:t>
      </w:r>
      <w:r>
        <w:rPr>
          <w:rFonts w:hint="eastAsia" w:ascii="仿宋_GB2312" w:hAnsi="仿宋" w:eastAsia="仿宋_GB2312" w:cs="仿宋"/>
          <w:bCs/>
          <w:kern w:val="0"/>
          <w:sz w:val="32"/>
          <w:szCs w:val="32"/>
        </w:rPr>
        <w:t>企业</w:t>
      </w:r>
      <w:r>
        <w:rPr>
          <w:rFonts w:hint="eastAsia" w:ascii="仿宋_GB2312" w:hAnsi="仿宋" w:eastAsia="仿宋_GB2312" w:cs="仿宋"/>
          <w:bCs/>
          <w:kern w:val="0"/>
          <w:sz w:val="32"/>
          <w:szCs w:val="32"/>
          <w:lang w:val="zh-CN"/>
        </w:rPr>
        <w:t>，针对民生、商贸等不同客户群体</w:t>
      </w:r>
      <w:r>
        <w:rPr>
          <w:rFonts w:hint="eastAsia" w:ascii="仿宋_GB2312" w:hAnsi="仿宋" w:eastAsia="仿宋_GB2312" w:cs="仿宋"/>
          <w:bCs/>
          <w:kern w:val="0"/>
          <w:sz w:val="32"/>
          <w:szCs w:val="32"/>
        </w:rPr>
        <w:t>开发</w:t>
      </w:r>
      <w:r>
        <w:rPr>
          <w:rFonts w:hint="eastAsia" w:ascii="仿宋_GB2312" w:hAnsi="仿宋" w:eastAsia="仿宋_GB2312" w:cs="仿宋"/>
          <w:bCs/>
          <w:kern w:val="0"/>
          <w:sz w:val="32"/>
          <w:szCs w:val="32"/>
          <w:lang w:val="zh-CN"/>
        </w:rPr>
        <w:t>金融产品。</w:t>
      </w:r>
      <w:r>
        <w:rPr>
          <w:rFonts w:hint="eastAsia" w:ascii="仿宋_GB2312" w:hAnsi="仿宋" w:eastAsia="仿宋_GB2312" w:cs="仿宋"/>
          <w:sz w:val="32"/>
          <w:szCs w:val="32"/>
        </w:rPr>
        <w:t>规范发展新型农村金融机构，形成覆盖全旗多层次多元金融服务体系，积极支持实施乡村振兴战略，扩大直接融资规模，探索组建政府产业投资引导基金，支持战略型新兴产业发展，</w:t>
      </w:r>
      <w:r>
        <w:rPr>
          <w:rFonts w:hint="eastAsia" w:ascii="仿宋_GB2312" w:hAnsi="仿宋" w:eastAsia="仿宋_GB2312" w:cs="仿宋"/>
          <w:bCs/>
          <w:kern w:val="0"/>
          <w:sz w:val="32"/>
          <w:szCs w:val="32"/>
          <w:lang w:val="zh-CN"/>
        </w:rPr>
        <w:t>培育企业上市，提高利用资本市场直接融资的能力和水平，更好地服务支持实体经济发展。</w:t>
      </w:r>
    </w:p>
    <w:p w14:paraId="157EC18A">
      <w:pPr>
        <w:pStyle w:val="117"/>
        <w:spacing w:after="0" w:line="64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发展中介咨询服务。积极鼓励支持发展劳动服务、信息咨询服务、科技服务、法律服务、会计审计、咨询评估、广告策划、农产品营销等市场中介服务业。加快建立健全以市场为导向的职业介绍、职业指导、职业培训、劳务派遣等各种就业服务项目有机结合的劳动就业服务体系和运行机制。</w:t>
      </w:r>
    </w:p>
    <w:p w14:paraId="094F8FC4">
      <w:pPr>
        <w:pStyle w:val="117"/>
        <w:spacing w:line="640" w:lineRule="exact"/>
        <w:ind w:firstLine="640" w:firstLineChars="200"/>
        <w:rPr>
          <w:rFonts w:ascii="仿宋_GB2312" w:hAnsi="仿宋" w:eastAsia="仿宋_GB2312" w:cs="仿宋"/>
          <w:bCs/>
          <w:kern w:val="0"/>
          <w:sz w:val="32"/>
          <w:szCs w:val="32"/>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FA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8522" w:type="dxa"/>
            <w:vAlign w:val="center"/>
          </w:tcPr>
          <w:p w14:paraId="30A9A4B5">
            <w:pPr>
              <w:pStyle w:val="135"/>
              <w:spacing w:before="240"/>
              <w:ind w:firstLine="482"/>
              <w:jc w:val="center"/>
              <w:rPr>
                <w:b/>
                <w:color w:val="auto"/>
              </w:rPr>
            </w:pPr>
            <w:r>
              <w:rPr>
                <w:rFonts w:hint="eastAsia"/>
                <w:b/>
                <w:color w:val="auto"/>
              </w:rPr>
              <w:t>专栏13 生产型服务业</w:t>
            </w:r>
          </w:p>
          <w:p w14:paraId="63844F04">
            <w:pPr>
              <w:pStyle w:val="135"/>
              <w:rPr>
                <w:rFonts w:ascii="仿宋" w:hAnsi="仿宋" w:eastAsia="仿宋" w:cs="仿宋"/>
                <w:color w:val="auto"/>
                <w:sz w:val="32"/>
                <w:szCs w:val="32"/>
              </w:rPr>
            </w:pPr>
            <w:r>
              <w:rPr>
                <w:rFonts w:hint="eastAsia" w:ascii="宋体" w:hAnsi="宋体"/>
                <w:color w:val="auto"/>
              </w:rPr>
              <w:t>商贸建设项目、汽车服务中心工程及配套工程、乡镇商贸综合体建设项目、惠农惠牧生产服务中心建设项目、口岸国际公路物流园区道路及管网建设项目、互市贸易区建设项目、保税物流园区建设项目等。</w:t>
            </w:r>
          </w:p>
        </w:tc>
      </w:tr>
    </w:tbl>
    <w:p w14:paraId="62ACC30E">
      <w:pPr>
        <w:pStyle w:val="4"/>
      </w:pPr>
      <w:bookmarkStart w:id="34" w:name="_Toc71878874"/>
      <w:r>
        <w:rPr>
          <w:rFonts w:hint="eastAsia"/>
        </w:rPr>
        <w:t>第三节 推进新兴服务业发展</w:t>
      </w:r>
      <w:bookmarkEnd w:id="34"/>
    </w:p>
    <w:p w14:paraId="415FFFC1">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积极</w:t>
      </w:r>
      <w:r>
        <w:rPr>
          <w:rFonts w:hint="eastAsia" w:ascii="仿宋_GB2312" w:hAnsi="仿宋" w:eastAsia="仿宋_GB2312" w:cs="仿宋"/>
          <w:bCs/>
          <w:sz w:val="32"/>
          <w:szCs w:val="32"/>
        </w:rPr>
        <w:t>培育“互联网+”服务业新业态，大力发展电子商务、品牌代理、特许加盟等现代经营模式。</w:t>
      </w:r>
      <w:r>
        <w:rPr>
          <w:rFonts w:hint="eastAsia" w:ascii="仿宋_GB2312" w:hAnsi="仿宋" w:eastAsia="仿宋_GB2312" w:cs="仿宋"/>
          <w:sz w:val="32"/>
          <w:szCs w:val="32"/>
        </w:rPr>
        <w:t>积极扶持电商产业。采取“运营商+平台”模式，引入大型电商平台，推进达茂旗特色农畜产品和手工艺品电子商务平台建设。支持本地电商企业发展，围绕支撑电子商务发展所需的现代物流体系建设，采取走出去引进来等多种途径，积极推进电商物流中心建设，进一步完善冷链仓储、物流配送功能，为电子商务发展提供快速高效的物流支撑。建成达茂旗电子商务公共服务中心,加强乡（镇）电商服务站、村级服务点的建设，形成三级电商服务体系。</w:t>
      </w:r>
    </w:p>
    <w:p w14:paraId="43F681F5">
      <w:pPr>
        <w:spacing w:line="640" w:lineRule="exact"/>
        <w:ind w:firstLine="640" w:firstLineChars="200"/>
      </w:pPr>
      <w:r>
        <w:rPr>
          <w:rFonts w:hint="eastAsia" w:ascii="仿宋_GB2312" w:eastAsia="仿宋_GB2312"/>
          <w:sz w:val="32"/>
          <w:szCs w:val="32"/>
        </w:rPr>
        <w:t>发展壮大通航产业。加快运营达茂百灵机场。依托通用机场，</w:t>
      </w:r>
      <w:r>
        <w:rPr>
          <w:rFonts w:hint="eastAsia" w:ascii="仿宋_GB2312" w:eastAsia="仿宋_GB2312"/>
          <w:sz w:val="32"/>
          <w:szCs w:val="32"/>
          <w:lang w:val="mn-Mong-CN"/>
        </w:rPr>
        <w:t>发展壮大通航产业。建设通航产业园，园区内建设综合服务区、商务区、航展区、航空物流区、试飞基地、维修基地、飞行俱乐部、飞行员培训中心、草原乐园、贸易中心等。开通达茂至包头等航线。引进建设无人机组装试飞基地和通航飞行员教学培训基地，引进航天九院建设无人机训练基地。开展低空观光旅游业务。到2025年，建成以公务商务飞行、通勤飞行、低空旅游观光、飞行娱乐、航空物流、飞行员培训、无人机试飞、航空会展、飞行体验、空中跳伞、航拍航摄、农林喷洒、地理测绘、资源勘探、灾情监测、应急救援等保障服务为特色的自治区通用航空产业示范区。</w:t>
      </w:r>
    </w:p>
    <w:tbl>
      <w:tblPr>
        <w:tblStyle w:val="24"/>
        <w:tblpPr w:leftFromText="180" w:rightFromText="180" w:vertAnchor="text" w:horzAnchor="page" w:tblpX="1926" w:tblpY="469"/>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14:paraId="3A4B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60" w:type="dxa"/>
          </w:tcPr>
          <w:p w14:paraId="43F4AF41">
            <w:pPr>
              <w:pStyle w:val="135"/>
              <w:spacing w:before="240"/>
              <w:ind w:firstLine="482"/>
              <w:jc w:val="center"/>
              <w:rPr>
                <w:b/>
                <w:color w:val="auto"/>
              </w:rPr>
            </w:pPr>
            <w:r>
              <w:rPr>
                <w:rFonts w:hint="eastAsia"/>
                <w:b/>
                <w:color w:val="auto"/>
              </w:rPr>
              <w:t>专栏14 新兴服务业</w:t>
            </w:r>
          </w:p>
          <w:p w14:paraId="2B04E4C4">
            <w:pPr>
              <w:pStyle w:val="135"/>
              <w:rPr>
                <w:rFonts w:ascii="宋体" w:hAnsi="宋体"/>
                <w:color w:val="auto"/>
              </w:rPr>
            </w:pPr>
            <w:r>
              <w:rPr>
                <w:rFonts w:hint="eastAsia" w:ascii="宋体" w:hAnsi="宋体"/>
                <w:color w:val="auto"/>
              </w:rPr>
              <w:t>引进和培育商贸企业、金融分支机构、信息咨询公司、评估公司、检测认证公司、中介服务公司、职业介绍所、职业培训公司、农牧业信息公司、物联网公司。</w:t>
            </w:r>
          </w:p>
        </w:tc>
      </w:tr>
    </w:tbl>
    <w:p w14:paraId="399B854D">
      <w:pPr>
        <w:pStyle w:val="3"/>
      </w:pPr>
      <w:bookmarkStart w:id="35" w:name="_Toc71878875"/>
      <w:bookmarkStart w:id="36" w:name="_Toc64924567"/>
      <w:r>
        <w:rPr>
          <w:rFonts w:hint="eastAsia"/>
        </w:rPr>
        <w:t>第八章 挖掘优势 打造国家全域旅游示范区</w:t>
      </w:r>
      <w:bookmarkEnd w:id="35"/>
      <w:bookmarkEnd w:id="36"/>
    </w:p>
    <w:p w14:paraId="1B1CFA50">
      <w:pPr>
        <w:pStyle w:val="23"/>
        <w:widowControl w:val="0"/>
        <w:spacing w:line="640" w:lineRule="exact"/>
        <w:ind w:firstLine="640"/>
        <w:jc w:val="both"/>
        <w:rPr>
          <w:rFonts w:ascii="Times New Roman" w:hAnsi="Times New Roman" w:eastAsia="仿宋_GB2312"/>
          <w:color w:val="000000"/>
          <w:kern w:val="2"/>
        </w:rPr>
      </w:pPr>
      <w:r>
        <w:rPr>
          <w:rFonts w:hint="eastAsia" w:ascii="仿宋_GB2312" w:hAnsi="仿宋" w:eastAsia="仿宋_GB2312"/>
        </w:rPr>
        <w:t>找准我旗在包头市建设区域性文化旅游中心的发展定位，深化全域旅游示范区创建，发展四季旅游，强化“游牧文化”标识，深入挖掘游牧民俗、草原旅游、生态旅游等文化资源价值，举办节庆和赛事活动，推动旅游与文化、生态深度融合，提高旅游产业水平。</w:t>
      </w:r>
      <w:r>
        <w:rPr>
          <w:rFonts w:hint="eastAsia" w:ascii="仿宋_GB2312" w:hAnsi="仿宋" w:eastAsia="仿宋_GB2312" w:cs="仿宋"/>
        </w:rPr>
        <w:t>力争“十四五”期间全旗旅游接待量年均达到200万人次以上，旅游业总收入年均增速10%以上。</w:t>
      </w:r>
      <w:r>
        <w:rPr>
          <w:rFonts w:ascii="Times New Roman" w:hAnsi="Times New Roman" w:eastAsia="仿宋_GB2312"/>
          <w:b/>
          <w:bCs/>
          <w:color w:val="000000"/>
          <w:kern w:val="2"/>
        </w:rPr>
        <w:t>建设国内知名旅游目的地。</w:t>
      </w:r>
      <w:r>
        <w:rPr>
          <w:rFonts w:ascii="Times New Roman" w:hAnsi="Times New Roman" w:eastAsia="仿宋_GB2312"/>
          <w:color w:val="000000"/>
          <w:kern w:val="2"/>
        </w:rPr>
        <w:t>深挖达茂自然条件、历史文化、民俗风情，发展四季旅游、主题旅游，打造达茂旅游大景区，构建</w:t>
      </w:r>
      <w:r>
        <w:rPr>
          <w:rFonts w:ascii="Times New Roman" w:hAnsi="Times New Roman" w:eastAsia="仿宋_GB2312"/>
          <w:color w:val="000000"/>
        </w:rPr>
        <w:t>全域旅游新格局</w:t>
      </w:r>
      <w:r>
        <w:rPr>
          <w:rFonts w:ascii="Times New Roman" w:hAnsi="Times New Roman" w:eastAsia="仿宋_GB2312"/>
          <w:color w:val="000000"/>
          <w:kern w:val="2"/>
        </w:rPr>
        <w:t>，年接待游</w:t>
      </w:r>
      <w:r>
        <w:rPr>
          <w:rFonts w:hint="eastAsia" w:ascii="仿宋_GB2312" w:hAnsi="Times New Roman" w:eastAsia="仿宋_GB2312"/>
          <w:color w:val="000000"/>
          <w:kern w:val="2"/>
        </w:rPr>
        <w:t>客达到200万</w:t>
      </w:r>
      <w:r>
        <w:rPr>
          <w:rFonts w:ascii="Times New Roman" w:hAnsi="Times New Roman" w:eastAsia="仿宋_GB2312"/>
          <w:color w:val="000000"/>
          <w:kern w:val="2"/>
        </w:rPr>
        <w:t>人次以上。</w:t>
      </w:r>
      <w:r>
        <w:rPr>
          <w:rFonts w:ascii="Times New Roman" w:hAnsi="Times New Roman" w:eastAsia="仿宋_GB2312"/>
          <w:b/>
          <w:bCs/>
          <w:color w:val="000000"/>
          <w:kern w:val="2"/>
        </w:rPr>
        <w:t>要打造红色旅游品牌。</w:t>
      </w:r>
      <w:r>
        <w:rPr>
          <w:rFonts w:hint="eastAsia" w:ascii="仿宋_GB2312" w:hAnsi="Times New Roman" w:eastAsia="仿宋_GB2312"/>
          <w:color w:val="000000"/>
          <w:kern w:val="2"/>
        </w:rPr>
        <w:t>实施差异化发展战略，紧扣“英雄”主题和红色基因，充分</w:t>
      </w:r>
      <w:r>
        <w:rPr>
          <w:rFonts w:hint="eastAsia" w:ascii="仿宋_GB2312" w:hAnsi="Times New Roman" w:eastAsia="仿宋_GB2312"/>
          <w:color w:val="000000"/>
        </w:rPr>
        <w:t>挖掘</w:t>
      </w:r>
      <w:r>
        <w:rPr>
          <w:rFonts w:hint="eastAsia" w:ascii="仿宋_GB2312" w:hAnsi="Times New Roman" w:eastAsia="仿宋_GB2312"/>
          <w:color w:val="000000"/>
          <w:kern w:val="2"/>
        </w:rPr>
        <w:t>百灵庙抗日武装暴动、齐心协力建包钢、三千孤儿入内蒙</w:t>
      </w:r>
      <w:r>
        <w:rPr>
          <w:rFonts w:ascii="Times New Roman" w:hAnsi="Times New Roman" w:eastAsia="仿宋_GB2312"/>
          <w:color w:val="000000"/>
          <w:kern w:val="2"/>
        </w:rPr>
        <w:t>、草原英雄小姐妹等故事，构建以百灵庙镇为核心的红色旅游精品路线。</w:t>
      </w:r>
      <w:r>
        <w:rPr>
          <w:rFonts w:ascii="Times New Roman" w:hAnsi="Times New Roman" w:eastAsia="仿宋_GB2312"/>
          <w:b/>
          <w:bCs/>
          <w:color w:val="000000"/>
          <w:kern w:val="2"/>
        </w:rPr>
        <w:t>要打造绿色康养品牌。</w:t>
      </w:r>
      <w:r>
        <w:rPr>
          <w:rFonts w:ascii="Times New Roman" w:hAnsi="Times New Roman" w:eastAsia="仿宋_GB2312"/>
          <w:color w:val="000000"/>
        </w:rPr>
        <w:t>整合农耕特色、游牧风情、草原生态、蒙中医药等资源，</w:t>
      </w:r>
      <w:r>
        <w:rPr>
          <w:rFonts w:ascii="Times New Roman" w:hAnsi="Times New Roman" w:eastAsia="仿宋_GB2312"/>
          <w:color w:val="000000"/>
          <w:kern w:val="2"/>
        </w:rPr>
        <w:t>培育以休闲观光、互动体验、健康疗养为主的特色旅游产品，发展</w:t>
      </w:r>
      <w:r>
        <w:rPr>
          <w:rFonts w:hint="eastAsia" w:ascii="仿宋_GB2312" w:hAnsi="Times New Roman" w:eastAsia="仿宋_GB2312"/>
          <w:color w:val="000000"/>
          <w:kern w:val="2"/>
        </w:rPr>
        <w:t>“自驾达茂”特</w:t>
      </w:r>
      <w:r>
        <w:rPr>
          <w:rFonts w:ascii="Times New Roman" w:hAnsi="Times New Roman" w:eastAsia="仿宋_GB2312"/>
          <w:color w:val="000000"/>
          <w:kern w:val="2"/>
        </w:rPr>
        <w:t>色旅游</w:t>
      </w:r>
      <w:r>
        <w:rPr>
          <w:rFonts w:ascii="Times New Roman" w:hAnsi="Times New Roman" w:eastAsia="仿宋_GB2312"/>
          <w:color w:val="000000"/>
        </w:rPr>
        <w:t>。</w:t>
      </w:r>
      <w:r>
        <w:rPr>
          <w:rFonts w:ascii="Times New Roman" w:hAnsi="Times New Roman" w:eastAsia="仿宋_GB2312"/>
          <w:b/>
          <w:bCs/>
          <w:color w:val="000000"/>
        </w:rPr>
        <w:t>要</w:t>
      </w:r>
      <w:r>
        <w:rPr>
          <w:rFonts w:ascii="Times New Roman" w:hAnsi="Times New Roman" w:eastAsia="仿宋_GB2312"/>
          <w:b/>
          <w:bCs/>
          <w:color w:val="000000"/>
          <w:kern w:val="2"/>
        </w:rPr>
        <w:t>打造特色节庆品牌。</w:t>
      </w:r>
      <w:r>
        <w:rPr>
          <w:rFonts w:ascii="Times New Roman" w:hAnsi="Times New Roman" w:eastAsia="仿宋_GB2312"/>
          <w:color w:val="000000"/>
          <w:kern w:val="2"/>
        </w:rPr>
        <w:t>紧抓承办自治区旅游那达慕大会契机，办好博克、赛马、射箭等民族特色体育赛事，引入全国性汽车、摩托车、马拉松、自行车等现代体育赛事，打造以体育赛事、文化演艺为主的</w:t>
      </w:r>
      <w:r>
        <w:rPr>
          <w:rFonts w:hint="eastAsia" w:ascii="仿宋_GB2312" w:hAnsi="Times New Roman" w:eastAsia="仿宋_GB2312"/>
          <w:color w:val="000000"/>
          <w:kern w:val="2"/>
        </w:rPr>
        <w:t>“金字招牌”节庆</w:t>
      </w:r>
      <w:r>
        <w:rPr>
          <w:rFonts w:ascii="Times New Roman" w:hAnsi="Times New Roman" w:eastAsia="仿宋_GB2312"/>
          <w:color w:val="000000"/>
          <w:kern w:val="2"/>
        </w:rPr>
        <w:t>活动</w:t>
      </w:r>
      <w:r>
        <w:rPr>
          <w:rFonts w:ascii="Times New Roman" w:hAnsi="Times New Roman" w:eastAsia="仿宋_GB2312"/>
          <w:color w:val="000000"/>
        </w:rPr>
        <w:t>，开辟面向全国的旅游大市场。</w:t>
      </w:r>
      <w:r>
        <w:rPr>
          <w:rFonts w:ascii="Times New Roman" w:hAnsi="Times New Roman" w:eastAsia="仿宋_GB2312"/>
          <w:b/>
          <w:bCs/>
          <w:color w:val="000000"/>
        </w:rPr>
        <w:t>要</w:t>
      </w:r>
      <w:r>
        <w:rPr>
          <w:rFonts w:ascii="Times New Roman" w:hAnsi="Times New Roman" w:eastAsia="仿宋_GB2312"/>
          <w:b/>
          <w:bCs/>
          <w:color w:val="000000"/>
          <w:kern w:val="2"/>
        </w:rPr>
        <w:t>优化旅游公共服务。</w:t>
      </w:r>
      <w:r>
        <w:rPr>
          <w:rFonts w:ascii="Times New Roman" w:hAnsi="Times New Roman" w:eastAsia="仿宋_GB2312"/>
          <w:color w:val="000000"/>
          <w:kern w:val="2"/>
        </w:rPr>
        <w:t>推动旅游市场规范化发展，重拳出击整治旅游市场秩序、消灭旅游乱象。整体规划布局旅游产业，强化文化植入，开发旅游产品，着力提升百灵庙镇、希拉穆仁镇、满都拉镇以及各地区旅游配套功能，加快打造AAAAA级景区，建成运营五星级酒店，推动达茂旅游融入呼包鄂榆城市群发展。</w:t>
      </w:r>
    </w:p>
    <w:p w14:paraId="7417885D">
      <w:pPr>
        <w:pStyle w:val="4"/>
      </w:pPr>
      <w:bookmarkStart w:id="37" w:name="_Toc71878876"/>
      <w:bookmarkStart w:id="38" w:name="_Toc64924568"/>
      <w:r>
        <w:rPr>
          <w:rFonts w:hint="eastAsia"/>
        </w:rPr>
        <w:t>第一节 建设精品旅游景区</w:t>
      </w:r>
      <w:bookmarkEnd w:id="37"/>
      <w:bookmarkEnd w:id="38"/>
    </w:p>
    <w:p w14:paraId="677D4A98">
      <w:pPr>
        <w:widowControl w:val="0"/>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充分保护、传承和挖掘我旗深厚的历史文化、民俗风情等旅游资源，提升“一城、两带、三核、六区”的全域旅游发展格局。百灵庙镇整合那达慕产业园、敖伦苏木古城、女儿山景区、广福寺、艾不盖河等景区景点，举办那达慕游牧文化旅游节聚敛人气，全力加强旅游要素配套设施的建设，增强城镇整体吸引力，完善城镇旅游功能，打造宜居宜游的达茂旗文化旅游综合体。以巴音花镇、查干哈达苏木、达尔汗苏木、巴音敖包苏木及国道335沿线、召查公路沿线为重点，开发达尔汗大草原旅游区、诗画草原景区等各类旅游项目，提升全旗全域旅游的战略支撑、交通集散、辐射带动等作用和功能。以西河乡、乌克忽洞镇、石宝镇、小文公乡为重点，整合达茂旗农耕资源，连缀达茂旗自驾环线景点内容，串联形成的风光旅游带。以草原文化为龙头，构建达茂旗时尚草原旅游强势品牌，提升希拉穆仁草原接待点周边红格尔敖包、普会寺、希拉穆仁花海、古城等各类景点，打造草原生态旅游及休闲旅游度假集聚区。以哈萨尔景区为龙头，整合草原英雄小姐妹龙梅玉荣旧居旅游点、希日朝鲁庙、巴音杭盖生态公园等景区景点，打造达茂旗草原文化旅游集聚区。利用满都拉跨境旅游口岸开放集聚人流，直接对接呼包鄂，京津冀客源市场，形成以满都拉口岸为中心的旅游服务集聚区，打造边境旅游和跨境旅游目的地和集散地。</w:t>
      </w:r>
    </w:p>
    <w:p w14:paraId="7ABBAAB7"/>
    <w:p w14:paraId="071CF0D4">
      <w:pPr>
        <w:pStyle w:val="2"/>
        <w:ind w:firstLine="640"/>
      </w:pPr>
    </w:p>
    <w:tbl>
      <w:tblPr>
        <w:tblStyle w:val="24"/>
        <w:tblpPr w:leftFromText="180" w:rightFromText="180" w:vertAnchor="text" w:horzAnchor="page" w:tblpX="1926" w:tblpY="469"/>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14:paraId="3320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8260" w:type="dxa"/>
          </w:tcPr>
          <w:p w14:paraId="2A2C3DC5">
            <w:pPr>
              <w:pStyle w:val="135"/>
              <w:spacing w:before="240"/>
              <w:ind w:firstLine="482"/>
              <w:jc w:val="center"/>
              <w:rPr>
                <w:b/>
                <w:color w:val="auto"/>
              </w:rPr>
            </w:pPr>
            <w:r>
              <w:rPr>
                <w:rFonts w:hint="eastAsia"/>
                <w:b/>
                <w:color w:val="auto"/>
              </w:rPr>
              <w:t>专栏15  旅游业布局</w:t>
            </w:r>
          </w:p>
          <w:p w14:paraId="67F9258D">
            <w:pPr>
              <w:pStyle w:val="135"/>
              <w:ind w:firstLine="240" w:firstLineChars="100"/>
              <w:rPr>
                <w:color w:val="auto"/>
              </w:rPr>
            </w:pPr>
            <w:r>
              <w:rPr>
                <w:rFonts w:hint="eastAsia"/>
                <w:color w:val="auto"/>
              </w:rPr>
              <w:t>“一城”：百灵庙镇草原文化历史旅游中心区。</w:t>
            </w:r>
          </w:p>
          <w:p w14:paraId="6DE0A279">
            <w:pPr>
              <w:pStyle w:val="135"/>
              <w:ind w:firstLine="240" w:firstLineChars="100"/>
              <w:rPr>
                <w:color w:val="auto"/>
              </w:rPr>
            </w:pPr>
            <w:r>
              <w:rPr>
                <w:rFonts w:hint="eastAsia"/>
                <w:color w:val="auto"/>
              </w:rPr>
              <w:t>“两带”：牧区草原观光旅游带和农区田园风光旅游带。</w:t>
            </w:r>
          </w:p>
          <w:p w14:paraId="0D59863B">
            <w:pPr>
              <w:pStyle w:val="135"/>
              <w:ind w:firstLine="240" w:firstLineChars="100"/>
              <w:rPr>
                <w:color w:val="auto"/>
              </w:rPr>
            </w:pPr>
            <w:r>
              <w:rPr>
                <w:rFonts w:hint="eastAsia"/>
                <w:color w:val="auto"/>
              </w:rPr>
              <w:t>“三核”：满都拉旅游服务集聚核、明安镇旅游文化集聚核、希拉穆仁生态旅游集聚核。</w:t>
            </w:r>
          </w:p>
          <w:p w14:paraId="16551A0A">
            <w:pPr>
              <w:pStyle w:val="135"/>
              <w:ind w:firstLine="240" w:firstLineChars="100"/>
              <w:rPr>
                <w:color w:val="auto"/>
              </w:rPr>
            </w:pPr>
            <w:r>
              <w:rPr>
                <w:rFonts w:hint="eastAsia"/>
                <w:color w:val="auto"/>
              </w:rPr>
              <w:t>“六区”：阴山岩画与古城·部落生态保护区、那达慕文化旅游度假区、世界稀土矿山文化旅游区、乌克忽洞与石宝镇现代农业观光旅游示范区、巴音杭盖自然保护区和龙梅玉荣故居旅游区。</w:t>
            </w:r>
          </w:p>
        </w:tc>
      </w:tr>
    </w:tbl>
    <w:p w14:paraId="73162D46">
      <w:pPr>
        <w:pStyle w:val="4"/>
      </w:pPr>
      <w:bookmarkStart w:id="39" w:name="_Toc71878877"/>
      <w:bookmarkStart w:id="40" w:name="_Toc64924569"/>
      <w:r>
        <w:rPr>
          <w:rFonts w:hint="eastAsia"/>
        </w:rPr>
        <w:t>第二节 培育旅游新业态和新模式</w:t>
      </w:r>
      <w:bookmarkEnd w:id="39"/>
      <w:bookmarkEnd w:id="40"/>
    </w:p>
    <w:p w14:paraId="0AD56445">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kern w:val="2"/>
          <w:sz w:val="32"/>
          <w:szCs w:val="32"/>
        </w:rPr>
        <w:t>建立“旅游+”或“+旅游”模式，促进旅游产业与其它产业融合发展。</w:t>
      </w:r>
      <w:r>
        <w:rPr>
          <w:rFonts w:hint="eastAsia" w:ascii="仿宋_GB2312" w:hAnsi="仿宋" w:eastAsia="仿宋_GB2312" w:cs="仿宋"/>
          <w:sz w:val="32"/>
          <w:szCs w:val="32"/>
        </w:rPr>
        <w:t>促进旅游与文化体育深度融合，实施文体事业繁荣、文物传承保护、文旅产业融合、文旅人才队伍建设、强化文旅市场监督管理等五大工程，继续办好游牧文化旅游节、民俗展销活动、地方特色文体活动和现代体育赛事，发展冬季冰雪旅游，延伸旅游产业链。以建设“自驾达茂”为目标，全面完善地上自驾游以及空中观光旅游等各类服务体系。推进旅游与教育科研等融合，充分挖掘百灵庙抗日武装暴动、草原英雄小姐妹爱国主义和革命传统教育意义、“万里茶道”晋商及茶文化，推动建设国际草原艺术园，保护利用好草原英雄小姐妹旧居和抗日武装暴动纪念碑等红色文化，发展研学（教育）旅游、红色旅游。推动旅游与健康融合，挖掘蒙医药价值，推出以医药康复理疗、养生保健、文化体验于一体的健康旅游示范产品，发展健康养生旅游。旅游与乡村振兴融合，大力发展乡村旅游，提升农牧渔林乡村旅游品质，在旅游“食、宿、行、游、购、娱”全领域植入区域特色产品，培育建设旅游特色小镇和特色农庄，使旅游成为我旗特色产业和超级体验店。</w:t>
      </w:r>
    </w:p>
    <w:p w14:paraId="75756147">
      <w:pPr>
        <w:pStyle w:val="4"/>
      </w:pPr>
      <w:bookmarkStart w:id="41" w:name="_Toc71878878"/>
      <w:bookmarkStart w:id="42" w:name="_Toc64924570"/>
      <w:r>
        <w:rPr>
          <w:rFonts w:hint="eastAsia"/>
        </w:rPr>
        <w:t>第三节 加强旅游市场主体建设</w:t>
      </w:r>
      <w:bookmarkEnd w:id="41"/>
      <w:bookmarkEnd w:id="42"/>
    </w:p>
    <w:p w14:paraId="2BCF029D">
      <w:pPr>
        <w:pStyle w:val="22"/>
        <w:spacing w:before="0" w:beforeAutospacing="0" w:after="0" w:afterAutospacing="0" w:line="640" w:lineRule="exact"/>
        <w:ind w:firstLine="640" w:firstLineChars="200"/>
        <w:rPr>
          <w:rFonts w:ascii="仿宋_GB2312" w:eastAsia="仿宋_GB2312"/>
        </w:rPr>
      </w:pPr>
      <w:r>
        <w:rPr>
          <w:rFonts w:hint="eastAsia" w:ascii="仿宋_GB2312" w:hAnsi="仿宋" w:eastAsia="仿宋_GB2312" w:cs="仿宋"/>
          <w:sz w:val="32"/>
          <w:szCs w:val="32"/>
        </w:rPr>
        <w:t>把培育与壮大旅游市场主体放在更加重要的地位，进一步发挥市场在旅游资源的配置作用，吸引国内外知名旅游企业集团或管理公司参与旅游资源开发和产业整合，运用市场化的模式发展旅游。提高景区管理水平，加强景区旅游招商引资和市场化运作，打破地域和所有制界限，引进国内外大公司、大集团、知名旅行商参与景区旅游企业的整合，重点引入企业对百灵那达慕文化产业园区进行谋划运营。鼓励对中小景区实施委托管理、租赁经营、承包经营，提升旅游景区的发展质量和服务品质。支持旅游配套服务企业发展，发展以度假酒店为核心的多层次、多类型的旅游住宿设施，建设独具特色的主题酒店。支持特色旅游商品研发、生产和销售，重点开发骨雕、皮画、蒙古族服饰等民族工艺品美术品，升级已有工艺产品的旅游商品化包装。深度系统开发文公乡情、套马沟农庄、乡村小子、石磨面、毕力格泰奶食等旅游特色产品，打造“达茂礼物”文化旅游创意产品，做大地方特色旅游商品生产和销售产业。</w:t>
      </w:r>
    </w:p>
    <w:p w14:paraId="7860DBED">
      <w:pPr>
        <w:pStyle w:val="4"/>
      </w:pPr>
      <w:bookmarkStart w:id="43" w:name="_Toc64924571"/>
      <w:bookmarkStart w:id="44" w:name="_Toc71878879"/>
      <w:r>
        <w:rPr>
          <w:rFonts w:hint="eastAsia"/>
        </w:rPr>
        <w:t>第四节 完善旅游公共服务体系</w:t>
      </w:r>
      <w:bookmarkEnd w:id="43"/>
      <w:bookmarkEnd w:id="44"/>
    </w:p>
    <w:p w14:paraId="38D00062">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加快旅游公共服务体系的规划建设，完善旅游信息咨询、旅游安全保障、旅游应急救助、旅游交通便捷、旅游便民惠民等服务体系，形成政府主导、体系完备、规范标准、优质高效的旅游公共服务体系。全面打通旅游环线。完善旅游集散中心、游客咨询中心、旅游汽车站、旅游厕所、停车场等旅游公共服务设施，推进景区博物馆改陈、景区游客中心提升改造，在景区步行道沿线增设休息设施。完善23个自驾游营地“驿站”。以美丽中国主题旅游十佳线路的自驾达茂旅游线路为重点，加快旅游道路建设，重点解决各旅游景区景点与交通干线连接问题，打造具有文化、体验、休闲、运动、教育等复合功能的主题线路。补充完善旅游标识标牌。推进旅游服务智慧化，建设满足吃住行游购娱为一体的智慧旅游系统。提高旅游管理服务水平，提升达茂旅游的美誉度和吸引力。</w:t>
      </w:r>
    </w:p>
    <w:p w14:paraId="3CCFE96C">
      <w:pPr>
        <w:pStyle w:val="4"/>
      </w:pPr>
      <w:bookmarkStart w:id="45" w:name="_Toc64924572"/>
      <w:bookmarkStart w:id="46" w:name="_Toc71878880"/>
      <w:r>
        <w:rPr>
          <w:rFonts w:hint="eastAsia"/>
        </w:rPr>
        <w:t>第五节 加强旅游区域合作与品牌营销</w:t>
      </w:r>
      <w:bookmarkEnd w:id="45"/>
      <w:bookmarkEnd w:id="46"/>
    </w:p>
    <w:p w14:paraId="03F85AD4">
      <w:pPr>
        <w:widowControl w:val="0"/>
        <w:adjustRightInd/>
        <w:snapToGrid/>
        <w:spacing w:line="64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坚持自然、人文、休闲、体验并重的原则，立足丰富厚重的旅游文化，突出原生态、群众性、娱乐性，以市场化方式、产业化路径做稳做精达茂旅游品牌。加强与周边地区旅游资源共享和旅游线路共建，开展“抱团式”联合营销，促进区域旅游一体化。积极融入呼包旅游休闲圈，打造呼和浩特—希拉穆仁—达尔汗—满都拉、呼和浩特—希拉穆仁—百灵庙—明安镇、包头—百灵庙—明安镇—满都拉3条精品旅游线路，以希拉穆仁旅游区为龙头，整合旗内景点，开辟面向全国的旅游大市场。积极参加各类旅游推介活动，注册各网络大平台旅游直播账号，编辑达茂网络旅游指南、旅游交通地图，拍摄全域旅游短视频、达茂风土人情小视频等，全面宣传推介达茂旅游品牌。</w:t>
      </w:r>
    </w:p>
    <w:p w14:paraId="7E608351">
      <w:pPr>
        <w:pStyle w:val="4"/>
      </w:pPr>
      <w:bookmarkStart w:id="47" w:name="_Toc71878881"/>
      <w:bookmarkStart w:id="48" w:name="_Toc64924573"/>
      <w:r>
        <w:rPr>
          <w:rFonts w:hint="eastAsia"/>
        </w:rPr>
        <w:t>第六节 创新旅游业发展体制机制</w:t>
      </w:r>
      <w:bookmarkEnd w:id="47"/>
      <w:bookmarkEnd w:id="48"/>
    </w:p>
    <w:p w14:paraId="551BCC8D">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创新旅游开发建设模式，以资本为纽带，统筹旅游资源，探索旅游产业投融资新机制，健全旅游开发建设投融资平台。建立景区联席会议制度，协调解决旅游业发展和旅游市场管理中的各类问题。推进旅游经营体制改革，探索旅游景区景点经营新模式，规划实施全旗旅游景区景点联票制度，实行统一市场营销、客源组织、售票管理，促进景区经营市场化。积极探索以企业为主体的旅游景点开发、建设、管理等市场化运作模式。</w:t>
      </w:r>
    </w:p>
    <w:p w14:paraId="169D42ED">
      <w:pPr>
        <w:spacing w:line="640" w:lineRule="exact"/>
        <w:rPr>
          <w:rFonts w:ascii="楷体" w:hAnsi="楷体" w:eastAsia="楷体" w:cs="楷体"/>
          <w:sz w:val="32"/>
          <w:szCs w:val="32"/>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F08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8522" w:type="dxa"/>
          </w:tcPr>
          <w:p w14:paraId="1569E217">
            <w:pPr>
              <w:pStyle w:val="135"/>
              <w:spacing w:before="240"/>
              <w:ind w:firstLine="482"/>
              <w:jc w:val="center"/>
              <w:rPr>
                <w:b/>
                <w:color w:val="auto"/>
              </w:rPr>
            </w:pPr>
            <w:r>
              <w:rPr>
                <w:rFonts w:hint="eastAsia"/>
                <w:b/>
                <w:color w:val="auto"/>
              </w:rPr>
              <w:t>专栏16  旅游业发展</w:t>
            </w:r>
          </w:p>
          <w:p w14:paraId="215E1B94">
            <w:pPr>
              <w:pStyle w:val="135"/>
              <w:rPr>
                <w:color w:val="auto"/>
              </w:rPr>
            </w:pPr>
            <w:r>
              <w:rPr>
                <w:rFonts w:hint="eastAsia"/>
                <w:color w:val="auto"/>
              </w:rPr>
              <w:t>希拉穆仁旅游等景区提档升级项目、库列古城旅游景区建设、套马沟旅游一体化项目、交通驿站旅游设施、口岸边境旅游项目、低空观光旅游服务中心项目、自驾游线路完善项目、景区星级创建项目、百灵那达慕文化产业园区提档升级建设项目、智慧旅游平台建设项目、游客服务中心、旅游环线公路建设项目等。</w:t>
            </w:r>
          </w:p>
        </w:tc>
      </w:tr>
    </w:tbl>
    <w:p w14:paraId="61A07A6D">
      <w:pPr>
        <w:rPr>
          <w:sz w:val="24"/>
          <w:szCs w:val="36"/>
        </w:rPr>
      </w:pPr>
    </w:p>
    <w:p w14:paraId="25D47FD2">
      <w:pPr>
        <w:pStyle w:val="3"/>
      </w:pPr>
      <w:bookmarkStart w:id="49" w:name="_Toc71878882"/>
      <w:r>
        <w:rPr>
          <w:rFonts w:hint="eastAsia"/>
        </w:rPr>
        <w:t>第九章 以人为本 推进新型城镇化</w:t>
      </w:r>
      <w:bookmarkEnd w:id="49"/>
    </w:p>
    <w:p w14:paraId="1383E2B8">
      <w:pPr>
        <w:spacing w:line="640" w:lineRule="exact"/>
        <w:ind w:firstLine="640" w:firstLineChars="200"/>
        <w:rPr>
          <w:rFonts w:ascii="仿宋_GB2312" w:hAnsi="仿宋" w:eastAsia="仿宋_GB2312" w:cs="楷体"/>
          <w:sz w:val="32"/>
          <w:szCs w:val="32"/>
        </w:rPr>
      </w:pPr>
      <w:r>
        <w:rPr>
          <w:rFonts w:hint="eastAsia" w:ascii="仿宋_GB2312" w:hAnsi="仿宋" w:eastAsia="仿宋_GB2312" w:cs="仿宋_GB2312"/>
          <w:sz w:val="32"/>
          <w:szCs w:val="32"/>
        </w:rPr>
        <w:t>推进以人为核心的新型城镇化，</w:t>
      </w:r>
      <w:r>
        <w:rPr>
          <w:rFonts w:hint="eastAsia" w:ascii="仿宋_GB2312" w:hAnsi="仿宋" w:eastAsia="仿宋_GB2312" w:cs="仿宋"/>
          <w:sz w:val="32"/>
          <w:szCs w:val="32"/>
        </w:rPr>
        <w:t>实施大县城战略，发展特色小城镇，坚持扩容提升和凸显特色并重，强化服务功能和集聚功能，推进城乡一体化发展，走出一条生态优先、功能完善、布局合理具有地方特色的新型城镇化道路。</w:t>
      </w:r>
    </w:p>
    <w:p w14:paraId="75B82A17">
      <w:pPr>
        <w:pStyle w:val="4"/>
      </w:pPr>
      <w:bookmarkStart w:id="50" w:name="_Toc71878883"/>
      <w:r>
        <w:rPr>
          <w:rFonts w:hint="eastAsia"/>
        </w:rPr>
        <w:t>第一节 建设美丽宜居县城</w:t>
      </w:r>
      <w:bookmarkEnd w:id="50"/>
    </w:p>
    <w:p w14:paraId="398A0F86">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mn-Mong-CN"/>
        </w:rPr>
        <w:t>加快城镇内涵式改造开发步伐，全面提升中心镇</w:t>
      </w:r>
      <w:r>
        <w:rPr>
          <w:rFonts w:hint="eastAsia" w:ascii="仿宋_GB2312" w:hAnsi="仿宋" w:eastAsia="仿宋_GB2312" w:cs="仿宋"/>
          <w:sz w:val="32"/>
          <w:szCs w:val="32"/>
        </w:rPr>
        <w:t>百灵庙</w:t>
      </w:r>
      <w:r>
        <w:rPr>
          <w:rFonts w:hint="eastAsia" w:ascii="仿宋_GB2312" w:hAnsi="仿宋" w:eastAsia="仿宋_GB2312" w:cs="仿宋"/>
          <w:sz w:val="32"/>
          <w:szCs w:val="32"/>
          <w:lang w:val="mn-Mong-CN"/>
        </w:rPr>
        <w:t>的综合承载能力和城镇化水平。实施城市更新行动，完善市政公共基础设施，重点实施市政道路、排水防涝、供水供热管网改造、人防工程、老旧小区改造、污水处理、生活垃圾处理等工程，实施固阳到百灵庙镇及工业园区天然气管道、污水厂至新型工业园区中水管网铺设和百灵庙镇排水防洪设施建设工程。完成人防工程建设和补建任务，利用以收代建的防空易地建设费建设人防工程。实施城市生态修复、功能完善工程，</w:t>
      </w:r>
      <w:r>
        <w:rPr>
          <w:rFonts w:hint="eastAsia" w:ascii="仿宋_GB2312" w:hAnsi="仿宋" w:eastAsia="仿宋_GB2312" w:cs="仿宋"/>
          <w:sz w:val="32"/>
          <w:szCs w:val="32"/>
        </w:rPr>
        <w:t>推进城镇绿化、亮化、美化、净化工程，打造独特的城镇景观，构建宜人的绿化景观和公共空间系统。完善城镇功能服务设施，打通社区断头路，</w:t>
      </w:r>
      <w:r>
        <w:rPr>
          <w:rFonts w:hint="eastAsia" w:ascii="仿宋_GB2312" w:hAnsi="仿宋" w:eastAsia="仿宋_GB2312" w:cs="Arial"/>
          <w:sz w:val="32"/>
          <w:szCs w:val="32"/>
        </w:rPr>
        <w:t>完善非机动车和行人交通系统，加快发展镇内交通，加强停车设施建设管理，解决“停车难”问题。</w:t>
      </w:r>
      <w:r>
        <w:rPr>
          <w:rFonts w:hint="eastAsia" w:ascii="仿宋_GB2312" w:hAnsi="仿宋" w:eastAsia="仿宋_GB2312" w:cs="仿宋"/>
          <w:sz w:val="32"/>
          <w:szCs w:val="32"/>
          <w:lang w:val="mn-Mong-CN"/>
        </w:rPr>
        <w:t>合理规划城镇商业网点，</w:t>
      </w:r>
      <w:r>
        <w:rPr>
          <w:rFonts w:hint="eastAsia" w:ascii="仿宋_GB2312" w:hAnsi="仿宋" w:eastAsia="仿宋_GB2312" w:cs="Arial"/>
          <w:sz w:val="32"/>
          <w:szCs w:val="32"/>
        </w:rPr>
        <w:t>升级改造商业步行街，发展市民消费新载体</w:t>
      </w:r>
      <w:r>
        <w:rPr>
          <w:rFonts w:hint="eastAsia" w:ascii="仿宋_GB2312" w:hAnsi="仿宋" w:eastAsia="仿宋_GB2312" w:cs="仿宋"/>
          <w:sz w:val="32"/>
          <w:szCs w:val="32"/>
          <w:lang w:val="mn-Mong-CN"/>
        </w:rPr>
        <w:t>，打造城镇便捷生活服务圈</w:t>
      </w:r>
      <w:r>
        <w:rPr>
          <w:rFonts w:hint="eastAsia" w:ascii="仿宋_GB2312" w:hAnsi="仿宋" w:eastAsia="仿宋_GB2312" w:cs="Arial"/>
          <w:sz w:val="32"/>
          <w:szCs w:val="32"/>
        </w:rPr>
        <w:t>。</w:t>
      </w:r>
      <w:r>
        <w:rPr>
          <w:rFonts w:hint="eastAsia" w:ascii="仿宋_GB2312" w:hAnsi="仿宋" w:eastAsia="仿宋_GB2312" w:cs="仿宋"/>
          <w:sz w:val="32"/>
          <w:szCs w:val="32"/>
          <w:lang w:val="mn-Mong-CN"/>
        </w:rPr>
        <w:t>投入使用博物馆、纪念馆，运营残疾人托养中心，填补城市功能空白。</w:t>
      </w:r>
      <w:r>
        <w:rPr>
          <w:rFonts w:hint="eastAsia" w:ascii="仿宋_GB2312" w:hAnsi="仿宋" w:eastAsia="仿宋_GB2312" w:cs="Arial"/>
          <w:sz w:val="32"/>
          <w:szCs w:val="32"/>
        </w:rPr>
        <w:t>健全公共停车场、智能快件箱、社区菜市场等便民设施，</w:t>
      </w:r>
      <w:r>
        <w:rPr>
          <w:rFonts w:hint="eastAsia" w:ascii="仿宋_GB2312" w:hAnsi="仿宋" w:eastAsia="仿宋_GB2312" w:cs="仿宋"/>
          <w:sz w:val="32"/>
          <w:szCs w:val="32"/>
          <w:lang w:val="mn-Mong-CN"/>
        </w:rPr>
        <w:t>优化学校、医院、文化、体育等公共服务设施，建设电动汽车充电桩及附属设施，进一步完善城镇功能，完善提升城镇承载力。</w:t>
      </w:r>
      <w:r>
        <w:rPr>
          <w:rFonts w:hint="eastAsia" w:ascii="仿宋_GB2312" w:hAnsi="Times New Roman" w:eastAsia="仿宋_GB2312"/>
          <w:color w:val="000000"/>
          <w:sz w:val="32"/>
          <w:szCs w:val="32"/>
        </w:rPr>
        <w:t>旧城区推进棚改腾空区增绿补绿、拆围建绿，因地制宜建设口袋公园、口袋广场；新城区以景区标准打造，加快主干道、主河流沿线改造升级，着力打造“宜养小城”。引进和培育电子商务企业、物流配送公司，建设大型蔬菜交易市场、休闲娱乐购物中心等其他服务项目，着力打造“宜业小城”。有序推进沿街商铺立面特色化改造，旧城区以“红色”为主调，打造百灵庙红色记忆一条街，新城区以“蓝色”为主调，打造民族风情一条街，将四个文化单体建设为城市地标，着力打造“宜游小城”。</w:t>
      </w:r>
      <w:r>
        <w:rPr>
          <w:rFonts w:hint="eastAsia" w:ascii="仿宋_GB2312" w:hAnsi="仿宋" w:eastAsia="仿宋_GB2312" w:cs="仿宋"/>
          <w:sz w:val="32"/>
          <w:szCs w:val="32"/>
          <w:lang w:val="mn-Mong-CN"/>
        </w:rPr>
        <w:t>加强城镇精细化管理。创新城镇管理体制机制，强化管理执法，把城镇管理纳入法治轨道，全面推行“街长制”，常态化开展“马路办公”，不断提高城镇现代化管理水平。推进智慧城镇建设，</w:t>
      </w:r>
      <w:r>
        <w:rPr>
          <w:rFonts w:hint="eastAsia" w:ascii="仿宋_GB2312" w:hAnsi="仿宋" w:eastAsia="仿宋_GB2312" w:cs="Arial"/>
          <w:sz w:val="32"/>
          <w:szCs w:val="32"/>
        </w:rPr>
        <w:t>完善城镇数字化管理平台和感知系统，整合市政设施、公共安全、应急管理等信息数据资源，实现城镇运行“一网统管”，提高城镇</w:t>
      </w:r>
      <w:r>
        <w:rPr>
          <w:rFonts w:hint="eastAsia" w:ascii="仿宋_GB2312" w:hAnsi="仿宋" w:eastAsia="仿宋_GB2312" w:cs="仿宋"/>
          <w:sz w:val="32"/>
          <w:szCs w:val="32"/>
          <w:lang w:val="mn-Mong-CN"/>
        </w:rPr>
        <w:t>网格化、</w:t>
      </w:r>
      <w:r>
        <w:rPr>
          <w:rFonts w:hint="eastAsia" w:ascii="仿宋_GB2312" w:hAnsi="仿宋" w:eastAsia="仿宋_GB2312" w:cs="Arial"/>
          <w:sz w:val="32"/>
          <w:szCs w:val="32"/>
        </w:rPr>
        <w:t>数字化、精细化管理水平。</w:t>
      </w:r>
    </w:p>
    <w:p w14:paraId="654025E9">
      <w:pPr>
        <w:pStyle w:val="4"/>
      </w:pPr>
      <w:bookmarkStart w:id="51" w:name="_Toc71878884"/>
      <w:r>
        <w:rPr>
          <w:rFonts w:hint="eastAsia"/>
        </w:rPr>
        <w:t>第二节 建设特色小城镇</w:t>
      </w:r>
      <w:bookmarkEnd w:id="51"/>
    </w:p>
    <w:p w14:paraId="2A19252F">
      <w:pPr>
        <w:spacing w:line="640" w:lineRule="exact"/>
        <w:ind w:firstLine="640" w:firstLineChars="200"/>
        <w:rPr>
          <w:rFonts w:ascii="仿宋_GB2312" w:hAnsi="仿宋" w:eastAsia="仿宋_GB2312" w:cs="仿宋"/>
          <w:sz w:val="32"/>
          <w:szCs w:val="32"/>
          <w:lang w:val="mn-Mong-CN"/>
        </w:rPr>
      </w:pPr>
      <w:r>
        <w:rPr>
          <w:rFonts w:hint="eastAsia" w:ascii="仿宋_GB2312" w:hAnsi="仿宋" w:eastAsia="仿宋_GB2312" w:cs="仿宋"/>
          <w:sz w:val="32"/>
          <w:szCs w:val="32"/>
          <w:lang w:val="mn-Mong-CN"/>
        </w:rPr>
        <w:t>按照因地制宜、梯度推进、特色发展的思路，有序推进特色小镇建设，打造微型产业聚集区和高质量发展新平台。</w:t>
      </w:r>
      <w:r>
        <w:rPr>
          <w:rFonts w:hint="eastAsia" w:ascii="仿宋_GB2312" w:hAnsi="仿宋" w:eastAsia="仿宋_GB2312" w:cs="仿宋_GB2312"/>
          <w:sz w:val="32"/>
          <w:szCs w:val="32"/>
        </w:rPr>
        <w:t>希拉穆仁镇加大城镇建设力度，完善城镇公共服务设施，建设旅游服务中心，打造民俗风情园，提升旅游吸引力，</w:t>
      </w:r>
      <w:r>
        <w:rPr>
          <w:rFonts w:hint="eastAsia" w:ascii="仿宋_GB2312" w:hAnsi="仿宋" w:eastAsia="仿宋_GB2312" w:cs="仿宋"/>
          <w:sz w:val="32"/>
          <w:szCs w:val="32"/>
          <w:lang w:val="mn-Mong-CN"/>
        </w:rPr>
        <w:t>打造旅游产业支撑、基础设施完备、蒙元风情浓郁的特色旅游风情小镇。</w:t>
      </w:r>
      <w:r>
        <w:rPr>
          <w:rFonts w:hint="eastAsia" w:ascii="仿宋_GB2312" w:hAnsi="仿宋" w:eastAsia="仿宋_GB2312" w:cs="仿宋_GB2312"/>
          <w:sz w:val="32"/>
          <w:szCs w:val="32"/>
        </w:rPr>
        <w:t>满都拉镇实施镇区提档升级工程，改造镇区道路、管网等基础设施，</w:t>
      </w:r>
      <w:r>
        <w:rPr>
          <w:rFonts w:hint="eastAsia" w:ascii="仿宋_GB2312" w:hAnsi="仿宋" w:eastAsia="仿宋_GB2312"/>
          <w:sz w:val="32"/>
          <w:szCs w:val="32"/>
        </w:rPr>
        <w:t>以发展边境贸易、商贸流通、边境旅游、跨境旅游为目标，建设口岸贸易服务特色小镇。</w:t>
      </w:r>
      <w:r>
        <w:rPr>
          <w:rFonts w:hint="eastAsia" w:ascii="仿宋_GB2312" w:hAnsi="仿宋" w:eastAsia="仿宋_GB2312" w:cs="仿宋"/>
          <w:sz w:val="32"/>
          <w:szCs w:val="32"/>
          <w:lang w:val="mn-Mong-CN"/>
        </w:rPr>
        <w:t>石宝镇和乌克忽洞镇、小文公乡、西河乡按照发展工矿服务和农业种植服务的定位，配套完善基础设施，增强人口聚集能力，打造工矿服务和农业服务型小镇。</w:t>
      </w:r>
      <w:r>
        <w:rPr>
          <w:rFonts w:hint="eastAsia" w:ascii="仿宋_GB2312" w:hAnsi="仿宋" w:eastAsia="仿宋_GB2312"/>
          <w:sz w:val="32"/>
          <w:szCs w:val="32"/>
        </w:rPr>
        <w:t>明安镇依托白云鄂博矿区和丰富的旅游资源，建设工矿服务和文化旅游小镇。</w:t>
      </w:r>
      <w:r>
        <w:rPr>
          <w:rFonts w:hint="eastAsia" w:ascii="仿宋_GB2312" w:hAnsi="仿宋" w:eastAsia="仿宋_GB2312" w:cs="仿宋"/>
          <w:sz w:val="32"/>
          <w:szCs w:val="32"/>
          <w:lang w:val="mn-Mong-CN"/>
        </w:rPr>
        <w:t>巴音花镇、达尔汗苏木、查干哈达苏木和巴音敖包苏木依托各自的资源特色和产业定位，发展肉牛、肉羊、蒙古马、骆驼等特色养殖业，建成各具特色的小城镇。</w:t>
      </w:r>
    </w:p>
    <w:p w14:paraId="1B10D963">
      <w:pPr>
        <w:pStyle w:val="4"/>
        <w:rPr>
          <w:lang w:val="mn-Mong-CN"/>
        </w:rPr>
      </w:pPr>
      <w:bookmarkStart w:id="52" w:name="_Toc64711780"/>
      <w:bookmarkStart w:id="53" w:name="_Toc71878885"/>
      <w:r>
        <w:rPr>
          <w:rFonts w:hint="eastAsia"/>
          <w:lang w:val="mn-Mong-CN"/>
        </w:rPr>
        <w:t>第三节 推进农牧区转移人口市民化进程</w:t>
      </w:r>
      <w:bookmarkEnd w:id="52"/>
      <w:bookmarkEnd w:id="53"/>
    </w:p>
    <w:p w14:paraId="7C1F85A2">
      <w:pPr>
        <w:widowControl w:val="0"/>
        <w:adjustRightInd/>
        <w:snapToGrid/>
        <w:spacing w:line="640" w:lineRule="exact"/>
        <w:ind w:firstLine="579" w:firstLineChars="181"/>
        <w:jc w:val="both"/>
        <w:textAlignment w:val="baseline"/>
        <w:rPr>
          <w:rFonts w:ascii="等线" w:hAnsi="等线" w:eastAsia="仿宋_GB2312"/>
          <w:kern w:val="2"/>
          <w:sz w:val="32"/>
          <w:lang w:val="mn-Mong-CN"/>
        </w:rPr>
      </w:pPr>
      <w:r>
        <w:rPr>
          <w:rFonts w:hint="eastAsia" w:ascii="等线" w:hAnsi="等线" w:eastAsia="仿宋_GB2312"/>
          <w:kern w:val="2"/>
          <w:sz w:val="32"/>
          <w:lang w:val="mn-Mong-CN"/>
        </w:rPr>
        <w:t>深化户籍制度改革，</w:t>
      </w:r>
      <w:r>
        <w:rPr>
          <w:rFonts w:ascii="等线" w:hAnsi="等线" w:eastAsia="仿宋_GB2312"/>
          <w:kern w:val="2"/>
          <w:sz w:val="32"/>
          <w:lang w:val="mn-Mong-CN"/>
        </w:rPr>
        <w:t>以转移进城</w:t>
      </w:r>
      <w:r>
        <w:rPr>
          <w:rFonts w:hint="eastAsia" w:ascii="等线" w:hAnsi="等线" w:eastAsia="仿宋_GB2312"/>
          <w:kern w:val="2"/>
          <w:sz w:val="32"/>
          <w:lang w:val="mn-Mong-CN"/>
        </w:rPr>
        <w:t>农</w:t>
      </w:r>
      <w:r>
        <w:rPr>
          <w:rFonts w:ascii="等线" w:hAnsi="等线" w:eastAsia="仿宋_GB2312"/>
          <w:kern w:val="2"/>
          <w:sz w:val="32"/>
          <w:lang w:val="mn-Mong-CN"/>
        </w:rPr>
        <w:t>牧民人口为重点，加快进城</w:t>
      </w:r>
      <w:r>
        <w:rPr>
          <w:rFonts w:hint="eastAsia" w:ascii="等线" w:hAnsi="等线" w:eastAsia="仿宋_GB2312"/>
          <w:kern w:val="2"/>
          <w:sz w:val="32"/>
          <w:lang w:val="mn-Mong-CN"/>
        </w:rPr>
        <w:t>农</w:t>
      </w:r>
      <w:r>
        <w:rPr>
          <w:rFonts w:ascii="等线" w:hAnsi="等线" w:eastAsia="仿宋_GB2312"/>
          <w:kern w:val="2"/>
          <w:sz w:val="32"/>
          <w:lang w:val="mn-Mong-CN"/>
        </w:rPr>
        <w:t>牧民市民化进程，推进城镇基本公共服务提标扩面，推动未落户常住人口享有城镇基本公共服务，促进进城</w:t>
      </w:r>
      <w:r>
        <w:rPr>
          <w:rFonts w:hint="eastAsia" w:ascii="等线" w:hAnsi="等线" w:eastAsia="仿宋_GB2312"/>
          <w:kern w:val="2"/>
          <w:sz w:val="32"/>
          <w:lang w:val="mn-Mong-CN"/>
        </w:rPr>
        <w:t>农</w:t>
      </w:r>
      <w:r>
        <w:rPr>
          <w:rFonts w:ascii="等线" w:hAnsi="等线" w:eastAsia="仿宋_GB2312"/>
          <w:kern w:val="2"/>
          <w:sz w:val="32"/>
          <w:lang w:val="mn-Mong-CN"/>
        </w:rPr>
        <w:t>牧民基本公共服务均等化、普惠化。适应推进城镇化进程和生态建设需要，引导人口向</w:t>
      </w:r>
      <w:r>
        <w:rPr>
          <w:rFonts w:hint="eastAsia" w:ascii="等线" w:hAnsi="等线" w:eastAsia="仿宋_GB2312"/>
          <w:kern w:val="2"/>
          <w:sz w:val="32"/>
          <w:lang w:val="mn-Mong-CN"/>
        </w:rPr>
        <w:t>城</w:t>
      </w:r>
      <w:r>
        <w:rPr>
          <w:rFonts w:ascii="等线" w:hAnsi="等线" w:eastAsia="仿宋_GB2312"/>
          <w:kern w:val="2"/>
          <w:sz w:val="32"/>
          <w:lang w:val="mn-Mong-CN"/>
        </w:rPr>
        <w:t>镇集中</w:t>
      </w:r>
      <w:r>
        <w:rPr>
          <w:rFonts w:hint="eastAsia" w:ascii="等线" w:hAnsi="等线" w:eastAsia="仿宋_GB2312"/>
          <w:kern w:val="2"/>
          <w:sz w:val="32"/>
          <w:lang w:val="mn-Mong-CN"/>
        </w:rPr>
        <w:t>集聚</w:t>
      </w:r>
      <w:r>
        <w:rPr>
          <w:rFonts w:ascii="等线" w:hAnsi="等线" w:eastAsia="仿宋_GB2312"/>
          <w:kern w:val="2"/>
          <w:sz w:val="32"/>
          <w:lang w:val="mn-Mong-CN"/>
        </w:rPr>
        <w:t>，减轻草原生态压力。维护进城</w:t>
      </w:r>
      <w:r>
        <w:rPr>
          <w:rFonts w:hint="eastAsia" w:ascii="等线" w:hAnsi="等线" w:eastAsia="仿宋_GB2312"/>
          <w:kern w:val="2"/>
          <w:sz w:val="32"/>
          <w:lang w:val="mn-Mong-CN"/>
        </w:rPr>
        <w:t>农</w:t>
      </w:r>
      <w:r>
        <w:rPr>
          <w:rFonts w:ascii="等线" w:hAnsi="等线" w:eastAsia="仿宋_GB2312"/>
          <w:kern w:val="2"/>
          <w:sz w:val="32"/>
          <w:lang w:val="mn-Mong-CN"/>
        </w:rPr>
        <w:t>牧民</w:t>
      </w:r>
      <w:r>
        <w:rPr>
          <w:rFonts w:hint="eastAsia" w:ascii="等线" w:hAnsi="等线" w:eastAsia="仿宋_GB2312"/>
          <w:kern w:val="2"/>
          <w:sz w:val="32"/>
          <w:lang w:val="mn-Mong-CN"/>
        </w:rPr>
        <w:t>土地草</w:t>
      </w:r>
      <w:r>
        <w:rPr>
          <w:rFonts w:ascii="等线" w:hAnsi="等线" w:eastAsia="仿宋_GB2312"/>
          <w:kern w:val="2"/>
          <w:sz w:val="32"/>
          <w:lang w:val="mn-Mong-CN"/>
        </w:rPr>
        <w:t>场承包权益，完善草原奖补制度，鼓励和推动</w:t>
      </w:r>
      <w:r>
        <w:rPr>
          <w:rFonts w:hint="eastAsia" w:ascii="等线" w:hAnsi="等线" w:eastAsia="仿宋_GB2312"/>
          <w:kern w:val="2"/>
          <w:sz w:val="32"/>
          <w:lang w:val="mn-Mong-CN"/>
        </w:rPr>
        <w:t>农</w:t>
      </w:r>
      <w:r>
        <w:rPr>
          <w:rFonts w:ascii="等线" w:hAnsi="等线" w:eastAsia="仿宋_GB2312"/>
          <w:kern w:val="2"/>
          <w:sz w:val="32"/>
          <w:lang w:val="mn-Mong-CN"/>
        </w:rPr>
        <w:t>牧民进城落户，进城</w:t>
      </w:r>
      <w:r>
        <w:rPr>
          <w:rFonts w:hint="eastAsia" w:ascii="等线" w:hAnsi="等线" w:eastAsia="仿宋_GB2312"/>
          <w:kern w:val="2"/>
          <w:sz w:val="32"/>
          <w:lang w:val="mn-Mong-CN"/>
        </w:rPr>
        <w:t>农</w:t>
      </w:r>
      <w:r>
        <w:rPr>
          <w:rFonts w:ascii="等线" w:hAnsi="等线" w:eastAsia="仿宋_GB2312"/>
          <w:kern w:val="2"/>
          <w:sz w:val="32"/>
          <w:lang w:val="mn-Mong-CN"/>
        </w:rPr>
        <w:t>牧民享受</w:t>
      </w:r>
      <w:r>
        <w:rPr>
          <w:rFonts w:hint="eastAsia" w:ascii="等线" w:hAnsi="等线" w:eastAsia="仿宋_GB2312"/>
          <w:kern w:val="2"/>
          <w:sz w:val="32"/>
          <w:lang w:val="mn-Mong-CN"/>
        </w:rPr>
        <w:t>同等</w:t>
      </w:r>
      <w:r>
        <w:rPr>
          <w:rFonts w:ascii="等线" w:hAnsi="等线" w:eastAsia="仿宋_GB2312"/>
          <w:kern w:val="2"/>
          <w:sz w:val="32"/>
          <w:lang w:val="mn-Mong-CN"/>
        </w:rPr>
        <w:t>城镇基本公共服务。实施</w:t>
      </w:r>
      <w:r>
        <w:rPr>
          <w:rFonts w:hint="eastAsia" w:ascii="等线" w:hAnsi="等线" w:eastAsia="仿宋_GB2312"/>
          <w:kern w:val="2"/>
          <w:sz w:val="32"/>
          <w:lang w:val="mn-Mong-CN"/>
        </w:rPr>
        <w:t>农</w:t>
      </w:r>
      <w:r>
        <w:rPr>
          <w:rFonts w:ascii="等线" w:hAnsi="等线" w:eastAsia="仿宋_GB2312"/>
          <w:kern w:val="2"/>
          <w:sz w:val="32"/>
          <w:lang w:val="mn-Mong-CN"/>
        </w:rPr>
        <w:t>牧业转移人口职业技能提升计划，增强转移人口就业能力</w:t>
      </w:r>
      <w:r>
        <w:rPr>
          <w:rFonts w:hint="eastAsia" w:ascii="等线" w:hAnsi="等线" w:eastAsia="仿宋_GB2312"/>
          <w:kern w:val="2"/>
          <w:sz w:val="32"/>
          <w:lang w:val="mn-Mong-CN"/>
        </w:rPr>
        <w:t>，提高转移人口融入城镇能力。</w:t>
      </w:r>
    </w:p>
    <w:p w14:paraId="1DE2292A">
      <w:pPr>
        <w:pStyle w:val="4"/>
      </w:pPr>
      <w:bookmarkStart w:id="54" w:name="_Toc71878886"/>
      <w:r>
        <w:rPr>
          <w:rFonts w:hint="eastAsia"/>
        </w:rPr>
        <w:t>第四节 推进城乡一体化发展</w:t>
      </w:r>
      <w:bookmarkEnd w:id="54"/>
    </w:p>
    <w:p w14:paraId="3A03C87D">
      <w:pPr>
        <w:spacing w:line="640" w:lineRule="exact"/>
        <w:ind w:firstLine="640" w:firstLineChars="200"/>
        <w:rPr>
          <w:rFonts w:ascii="仿宋_GB2312" w:hAnsi="仿宋" w:eastAsia="仿宋_GB2312" w:cs="仿宋"/>
          <w:sz w:val="32"/>
          <w:szCs w:val="32"/>
          <w:lang w:val="mn-Mong-CN"/>
        </w:rPr>
      </w:pPr>
      <w:r>
        <w:rPr>
          <w:rFonts w:hint="eastAsia" w:ascii="仿宋_GB2312" w:hAnsi="仿宋" w:eastAsia="仿宋_GB2312" w:cs="仿宋"/>
          <w:sz w:val="32"/>
          <w:szCs w:val="32"/>
          <w:lang w:val="mn-Mong-CN"/>
        </w:rPr>
        <w:t>建立健全城乡融合发展体制机制，推动新型城镇化与美丽乡村建设协调发展。建立规范高效的城乡规划管理体制，促进城乡基础设施、公共设施、产业发展、生态环境、社会管理一体化</w:t>
      </w:r>
      <w:r>
        <w:rPr>
          <w:rFonts w:hint="eastAsia" w:ascii="仿宋_GB2312" w:hAnsi="仿宋" w:eastAsia="仿宋_GB2312" w:cs="仿宋"/>
          <w:sz w:val="32"/>
          <w:szCs w:val="32"/>
        </w:rPr>
        <w:t>发展</w:t>
      </w:r>
      <w:r>
        <w:rPr>
          <w:rFonts w:hint="eastAsia" w:ascii="仿宋_GB2312" w:hAnsi="仿宋" w:eastAsia="仿宋_GB2312" w:cs="仿宋"/>
          <w:sz w:val="32"/>
          <w:szCs w:val="32"/>
          <w:lang w:val="mn-Mong-CN"/>
        </w:rPr>
        <w:t>。推动城镇基础设施向农村牧区延伸、公共服务向农村牧区覆盖，促进城乡基础设施互联互通、共建共享。加快城乡公交一体化，为群众提供安全、便捷、优惠的公交出行服务。推进城乡社会保障制度衔接，建成覆盖全民、统筹城乡、公平统一、可持续的多层次社会保障体系。探索建立城乡统一的建设用地、人力资源、科技金融等要素市场，促进人才、技术、资金等生产要素更多投向农村牧区和农牧业。</w:t>
      </w:r>
    </w:p>
    <w:p w14:paraId="6A3AB68B">
      <w:pPr>
        <w:pStyle w:val="2"/>
        <w:ind w:firstLine="480"/>
        <w:rPr>
          <w:sz w:val="24"/>
          <w:lang w:val="mn-Mong-CN"/>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F6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3" w:hRule="atLeast"/>
        </w:trPr>
        <w:tc>
          <w:tcPr>
            <w:tcW w:w="8522" w:type="dxa"/>
          </w:tcPr>
          <w:p w14:paraId="3A356E85">
            <w:pPr>
              <w:pStyle w:val="135"/>
              <w:spacing w:before="240"/>
              <w:ind w:firstLine="482"/>
              <w:jc w:val="center"/>
              <w:rPr>
                <w:b/>
                <w:color w:val="auto"/>
              </w:rPr>
            </w:pPr>
            <w:r>
              <w:rPr>
                <w:rFonts w:hint="eastAsia"/>
                <w:b/>
                <w:color w:val="auto"/>
              </w:rPr>
              <w:t>专栏17  城镇建设</w:t>
            </w:r>
          </w:p>
          <w:p w14:paraId="7D9E10F7">
            <w:pPr>
              <w:pStyle w:val="135"/>
              <w:rPr>
                <w:rFonts w:eastAsia="仿宋_GB2312"/>
                <w:color w:val="auto"/>
              </w:rPr>
            </w:pPr>
            <w:r>
              <w:rPr>
                <w:rFonts w:hint="eastAsia"/>
                <w:color w:val="auto"/>
              </w:rPr>
              <w:t>老旧小区改造、苏木乡镇基础设施提档升级工程、市政道路管网等综合改造项目、智慧城市建设项目、乡镇综合改造项目、城乡垃圾分类回收处理项目、垃圾填埋场建设项目、便民服务中心建设项目等。</w:t>
            </w:r>
          </w:p>
        </w:tc>
      </w:tr>
    </w:tbl>
    <w:p w14:paraId="2DF0048A">
      <w:pPr>
        <w:rPr>
          <w:sz w:val="24"/>
          <w:szCs w:val="36"/>
          <w:lang w:val="zh-CN"/>
        </w:rPr>
      </w:pPr>
    </w:p>
    <w:p w14:paraId="233B5C72">
      <w:pPr>
        <w:pStyle w:val="3"/>
      </w:pPr>
      <w:bookmarkStart w:id="55" w:name="_Toc71878887"/>
      <w:r>
        <w:rPr>
          <w:rFonts w:hint="eastAsia"/>
        </w:rPr>
        <w:t>第十章 优先发展 促进乡村全面振兴</w:t>
      </w:r>
      <w:bookmarkEnd w:id="55"/>
    </w:p>
    <w:p w14:paraId="630F1728">
      <w:pPr>
        <w:autoSpaceDE w:val="0"/>
        <w:autoSpaceDN w:val="0"/>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_GB2312"/>
          <w:sz w:val="32"/>
          <w:szCs w:val="32"/>
        </w:rPr>
        <w:t>坚持把解决好“三农”问题作为全旗工作重中之重，全面</w:t>
      </w:r>
      <w:r>
        <w:rPr>
          <w:rFonts w:hint="eastAsia" w:ascii="仿宋_GB2312" w:hAnsi="仿宋" w:eastAsia="仿宋_GB2312"/>
          <w:sz w:val="32"/>
          <w:szCs w:val="32"/>
          <w:lang w:val="zh-CN"/>
        </w:rPr>
        <w:t>实施乡村振兴战略,优先发展农牧业和农村牧区，加快形成工农互促、城乡互补、协调发展、共同繁荣的新型工农城乡关系，推动农村牧区产业兴旺、生态宜居、乡风文明、治理有效、生活富裕，全面建设好广大农牧民的生活家园</w:t>
      </w:r>
      <w:r>
        <w:rPr>
          <w:rFonts w:hint="eastAsia" w:ascii="仿宋_GB2312" w:hAnsi="仿宋" w:eastAsia="仿宋_GB2312" w:cs="仿宋"/>
          <w:sz w:val="32"/>
          <w:szCs w:val="32"/>
        </w:rPr>
        <w:t>，加快农业农村现代化建设。</w:t>
      </w:r>
    </w:p>
    <w:p w14:paraId="34751125">
      <w:pPr>
        <w:pStyle w:val="4"/>
      </w:pPr>
      <w:bookmarkStart w:id="56" w:name="_Toc71878888"/>
      <w:r>
        <w:rPr>
          <w:rFonts w:hint="eastAsia"/>
        </w:rPr>
        <w:t>第一节 巩固和拓展脱贫攻坚成果</w:t>
      </w:r>
      <w:bookmarkEnd w:id="56"/>
    </w:p>
    <w:p w14:paraId="79B49999">
      <w:pPr>
        <w:spacing w:line="600" w:lineRule="exact"/>
        <w:ind w:firstLine="643"/>
        <w:jc w:val="both"/>
        <w:rPr>
          <w:rFonts w:ascii="仿宋_GB2312" w:hAnsi="Times New Roman" w:eastAsia="仿宋_GB2312"/>
          <w:sz w:val="32"/>
          <w:szCs w:val="40"/>
        </w:rPr>
      </w:pPr>
      <w:r>
        <w:rPr>
          <w:rFonts w:hint="eastAsia" w:ascii="仿宋_GB2312" w:hAnsi="仿宋" w:eastAsia="仿宋_GB2312"/>
          <w:sz w:val="32"/>
          <w:szCs w:val="32"/>
        </w:rPr>
        <w:t>接续推进稳定脱贫与乡村振兴有效衔接，设立5年过渡期，坚持“四个不摘”政策，推动产业扶贫、就业扶贫、教育扶贫、健康扶贫、生态保护扶贫等政策的延续与创新。建立完善动态监测预警和帮扶机制，大力推进防贫保险，防止出现新的致贫和返贫。</w:t>
      </w:r>
      <w:r>
        <w:rPr>
          <w:rFonts w:ascii="仿宋_GB2312" w:hAnsi="仿宋" w:eastAsia="仿宋_GB2312"/>
          <w:sz w:val="32"/>
          <w:szCs w:val="32"/>
        </w:rPr>
        <w:t>建立</w:t>
      </w:r>
      <w:r>
        <w:rPr>
          <w:rFonts w:hint="eastAsia" w:ascii="仿宋_GB2312" w:hAnsi="仿宋" w:eastAsia="仿宋_GB2312"/>
          <w:sz w:val="32"/>
          <w:szCs w:val="32"/>
        </w:rPr>
        <w:t>健全</w:t>
      </w:r>
      <w:r>
        <w:rPr>
          <w:rFonts w:ascii="仿宋_GB2312" w:hAnsi="仿宋" w:eastAsia="仿宋_GB2312"/>
          <w:sz w:val="32"/>
          <w:szCs w:val="32"/>
        </w:rPr>
        <w:t>巩固脱贫成果长效机制</w:t>
      </w:r>
      <w:r>
        <w:rPr>
          <w:rFonts w:hint="eastAsia" w:ascii="仿宋_GB2312" w:hAnsi="仿宋" w:eastAsia="仿宋_GB2312"/>
          <w:sz w:val="32"/>
          <w:szCs w:val="32"/>
        </w:rPr>
        <w:t>，</w:t>
      </w:r>
      <w:r>
        <w:rPr>
          <w:rFonts w:ascii="仿宋_GB2312" w:hAnsi="仿宋" w:eastAsia="仿宋_GB2312"/>
          <w:sz w:val="32"/>
          <w:szCs w:val="32"/>
        </w:rPr>
        <w:t>完善和优化政策体系，</w:t>
      </w:r>
      <w:r>
        <w:rPr>
          <w:rFonts w:hint="eastAsia" w:ascii="仿宋_GB2312" w:hAnsi="仿宋" w:eastAsia="仿宋_GB2312"/>
          <w:sz w:val="32"/>
          <w:szCs w:val="32"/>
        </w:rPr>
        <w:t>深化拓展消费扶贫，统筹用好公益岗位，</w:t>
      </w:r>
      <w:r>
        <w:rPr>
          <w:rFonts w:ascii="仿宋_GB2312" w:hAnsi="仿宋" w:eastAsia="仿宋_GB2312"/>
          <w:sz w:val="32"/>
          <w:szCs w:val="32"/>
        </w:rPr>
        <w:t>用制度创新巩固</w:t>
      </w:r>
      <w:r>
        <w:rPr>
          <w:rFonts w:hint="eastAsia" w:ascii="仿宋_GB2312" w:hAnsi="仿宋" w:eastAsia="仿宋_GB2312"/>
          <w:sz w:val="32"/>
          <w:szCs w:val="32"/>
        </w:rPr>
        <w:t>和拓展</w:t>
      </w:r>
      <w:r>
        <w:rPr>
          <w:rFonts w:ascii="仿宋_GB2312" w:hAnsi="仿宋" w:eastAsia="仿宋_GB2312"/>
          <w:sz w:val="32"/>
          <w:szCs w:val="32"/>
        </w:rPr>
        <w:t>脱贫成果。强化</w:t>
      </w:r>
      <w:r>
        <w:rPr>
          <w:rFonts w:hint="eastAsia" w:ascii="仿宋_GB2312" w:hAnsi="仿宋" w:eastAsia="仿宋_GB2312"/>
          <w:sz w:val="32"/>
          <w:szCs w:val="32"/>
        </w:rPr>
        <w:t>驻村干部</w:t>
      </w:r>
      <w:r>
        <w:rPr>
          <w:rFonts w:ascii="仿宋_GB2312" w:hAnsi="仿宋" w:eastAsia="仿宋_GB2312"/>
          <w:sz w:val="32"/>
          <w:szCs w:val="32"/>
        </w:rPr>
        <w:t>队伍建设，</w:t>
      </w:r>
      <w:r>
        <w:rPr>
          <w:rFonts w:hint="eastAsia" w:ascii="仿宋_GB2312" w:hAnsi="仿宋" w:eastAsia="仿宋_GB2312"/>
          <w:sz w:val="32"/>
          <w:szCs w:val="32"/>
        </w:rPr>
        <w:t>团结带领广大群众在摆脱绝对贫困的基础上解决相对贫困问题</w:t>
      </w:r>
      <w:r>
        <w:rPr>
          <w:rFonts w:ascii="仿宋_GB2312" w:hAnsi="仿宋" w:eastAsia="仿宋_GB2312"/>
          <w:sz w:val="32"/>
          <w:szCs w:val="32"/>
        </w:rPr>
        <w:t>。</w:t>
      </w:r>
      <w:r>
        <w:rPr>
          <w:rFonts w:hint="eastAsia" w:ascii="仿宋_GB2312" w:hAnsi="Times New Roman" w:eastAsia="仿宋_GB2312"/>
          <w:sz w:val="32"/>
          <w:szCs w:val="40"/>
        </w:rPr>
        <w:t>做好易地扶贫后续帮扶工作，结合推进乡村振兴战略，坚持分类精准施策，进一步完善后续扶持政策体系，多渠道促进就业，加强后续产业发展，搞好社会管理，促进社会融入，确保搬迁群众稳得住、有就业、能致富。</w:t>
      </w:r>
    </w:p>
    <w:p w14:paraId="17C6B2CF">
      <w:pPr>
        <w:pStyle w:val="4"/>
      </w:pPr>
      <w:bookmarkStart w:id="57" w:name="_Toc71878889"/>
      <w:r>
        <w:rPr>
          <w:rFonts w:hint="eastAsia"/>
        </w:rPr>
        <w:t>第二节 实施乡村建设行动</w:t>
      </w:r>
      <w:bookmarkEnd w:id="57"/>
    </w:p>
    <w:p w14:paraId="2E52BFD5">
      <w:pPr>
        <w:widowControl w:val="0"/>
        <w:spacing w:line="640" w:lineRule="exact"/>
        <w:ind w:firstLine="633" w:firstLineChars="198"/>
        <w:jc w:val="both"/>
        <w:rPr>
          <w:rFonts w:ascii="仿宋_GB2312" w:hAnsi="仿宋" w:eastAsia="仿宋_GB2312"/>
          <w:sz w:val="32"/>
          <w:szCs w:val="32"/>
        </w:rPr>
      </w:pPr>
      <w:r>
        <w:rPr>
          <w:rFonts w:hint="eastAsia" w:ascii="仿宋_GB2312" w:hAnsi="仿宋" w:eastAsia="仿宋_GB2312"/>
          <w:sz w:val="32"/>
          <w:szCs w:val="32"/>
        </w:rPr>
        <w:t>把乡村建设摆在现代化建设重要位置，促进农村牧区产业、人才、文化、生态、组织全面振兴。推动乡村基础设施振兴，加快推进村庄规划，加强乡村公共基础设施建设，把公共基础设施建设的重点放在农村牧区，实施农村道路畅通工程，全面实行“路长制”，巩固“四好农村路”创建成果。实施农村牧区供水保障工程、电力提升工程，解决牧区无动力电牧民接入问题。持续推进城乡基本公共服务均等化，注重加强普惠性、兜底性、基础性民生建设，推进农村牧区水电路、通讯、改厕、污水、垃圾治理、村庄绿化等公共基础设施改造升级，形成助力农村牧区现代化发展的有力支撑。实施农村牧区人居环境整治5年提升行动，深化农村牧区人居环境综合治理，建立健全由政府主导、村民参与的整治长效机制，注重保护传统村落和乡村特色风貌，建设美丽乡村、美丽牧区，持续提升村容村貌，积极创建美丽宜居村庄和美丽庭院。推进乡村产业振兴。立足农村牧区当地资源发展绿色无公害产品、优质肉牛肉羊养殖等特色产业，打造农牧业综合示范项目，推动嘎查村集体经济规模、效益双提升。继续完善紧密型利益联结机制，支持小农牧户因地制宜发展生态农牧业、设施农牧业、体验农牧业、休闲农牧业，多种途径发展农牧业适度规模经营和现代化生产，让农牧民更多分享产业增值收益。</w:t>
      </w:r>
      <w:r>
        <w:rPr>
          <w:rFonts w:ascii="Times New Roman" w:hAnsi="Times New Roman" w:eastAsia="仿宋_GB2312"/>
          <w:color w:val="000000"/>
          <w:sz w:val="32"/>
          <w:szCs w:val="32"/>
        </w:rPr>
        <w:t>立足当地特色资源发展壮大村集体经济，</w:t>
      </w:r>
      <w:r>
        <w:rPr>
          <w:rFonts w:hint="eastAsia" w:ascii="仿宋_GB2312" w:hAnsi="Times New Roman" w:eastAsia="仿宋_GB2312"/>
          <w:color w:val="000000"/>
          <w:sz w:val="32"/>
          <w:szCs w:val="32"/>
        </w:rPr>
        <w:t>实施“一镇一业、一</w:t>
      </w:r>
      <w:r>
        <w:rPr>
          <w:rFonts w:hint="eastAsia" w:ascii="仿宋_GB2312" w:hAnsi="Times New Roman" w:eastAsia="仿宋_GB2312"/>
          <w:color w:val="000000"/>
          <w:kern w:val="2"/>
          <w:sz w:val="32"/>
          <w:szCs w:val="32"/>
        </w:rPr>
        <w:t>村</w:t>
      </w:r>
      <w:r>
        <w:rPr>
          <w:rFonts w:hint="eastAsia" w:ascii="仿宋_GB2312" w:hAnsi="Times New Roman" w:eastAsia="仿宋_GB2312"/>
          <w:color w:val="000000"/>
          <w:sz w:val="32"/>
          <w:szCs w:val="32"/>
        </w:rPr>
        <w:t>一品”行动，</w:t>
      </w:r>
      <w:r>
        <w:rPr>
          <w:rFonts w:ascii="Times New Roman" w:hAnsi="Times New Roman" w:eastAsia="仿宋_GB2312"/>
          <w:color w:val="000000"/>
          <w:sz w:val="32"/>
          <w:szCs w:val="32"/>
        </w:rPr>
        <w:t>打造特色</w:t>
      </w:r>
      <w:r>
        <w:rPr>
          <w:rFonts w:hint="eastAsia" w:ascii="Times New Roman" w:hAnsi="Times New Roman" w:eastAsia="仿宋_GB2312"/>
          <w:color w:val="000000"/>
          <w:sz w:val="32"/>
          <w:szCs w:val="32"/>
        </w:rPr>
        <w:t>乡村经济</w:t>
      </w:r>
      <w:r>
        <w:rPr>
          <w:rFonts w:ascii="Times New Roman" w:hAnsi="Times New Roman" w:eastAsia="仿宋_GB2312"/>
          <w:color w:val="000000"/>
          <w:sz w:val="32"/>
          <w:szCs w:val="32"/>
        </w:rPr>
        <w:t>。</w:t>
      </w:r>
      <w:r>
        <w:rPr>
          <w:rFonts w:hint="eastAsia" w:ascii="仿宋_GB2312" w:hAnsi="仿宋" w:eastAsia="仿宋_GB2312"/>
          <w:sz w:val="32"/>
          <w:szCs w:val="32"/>
        </w:rPr>
        <w:t>加快完善旗乡村三级物流体系，推进电子商务进农村牧区和农畜产品出村进城。加强农村牧区基层党组织建设，实施农村牧区带头人队伍优化提升行动，推行村级微权力清单制度，健全和创新嘎查村党组织领导的充满活力的村民自治机制，提高乡村综合治理水平。推进乡风文明建设，弘扬和践行社会主义核心价值观，推进农村牧区移风易俗，以村规民约引领乡村文明新风尚，形成文明乡风、良好家风、淳朴民风。</w:t>
      </w:r>
    </w:p>
    <w:p w14:paraId="2C2CE442">
      <w:pPr>
        <w:pStyle w:val="4"/>
      </w:pPr>
      <w:bookmarkStart w:id="58" w:name="_Toc71878890"/>
      <w:r>
        <w:rPr>
          <w:rFonts w:hint="eastAsia"/>
        </w:rPr>
        <w:t>第三节 建立健全城乡融合发展机制</w:t>
      </w:r>
      <w:bookmarkEnd w:id="58"/>
    </w:p>
    <w:p w14:paraId="178B737E">
      <w:pPr>
        <w:widowControl w:val="0"/>
        <w:spacing w:line="6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健全城乡融合发展机制，推动城乡要素平等交换、双向流动，增强农牧业农牧区发展活力。落实第二轮土地承包延期政策，执行“三权分置”制度，引导土地和草原承包权规范流转。保障进城落户农牧民草原和土地承包权、宅基地使用权、集体收益分配权，鼓励依法自愿有偿转让。健全城乡统一的建设用地市场，探索实施农村牧区集体经营性建设用地入市制度。完善农村牧区新增建设用地保障机制，盘活存量建设用地，探索宅基地所有权、资格权、使用权分置实现形式，发展新型集体经济。持续深化农村牧区金融改革，推动农村牧区金融机构回归本源，加大对农村牧区基础设施投入。</w:t>
      </w:r>
    </w:p>
    <w:p w14:paraId="5E445F9F">
      <w:pPr>
        <w:pStyle w:val="3"/>
      </w:pPr>
      <w:bookmarkStart w:id="59" w:name="_Toc71878891"/>
      <w:r>
        <w:rPr>
          <w:rFonts w:hint="eastAsia"/>
        </w:rPr>
        <w:t>第十一章 适度超前 提升基础设施支撑能力</w:t>
      </w:r>
      <w:bookmarkEnd w:id="59"/>
    </w:p>
    <w:p w14:paraId="170800EC">
      <w:pPr>
        <w:pStyle w:val="22"/>
        <w:spacing w:beforeAutospacing="0" w:afterAutospacing="0" w:line="6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按照统筹兼顾、适度超前的原则，处理好新基建与传统基建的关系，补齐基础设施短板，提高通达度和通畅性，拓展高质量发展空间，提升发展保障程度，奠定经济社会高质量发展坚实基础。</w:t>
      </w:r>
    </w:p>
    <w:p w14:paraId="67DD54FA">
      <w:pPr>
        <w:pStyle w:val="4"/>
      </w:pPr>
      <w:bookmarkStart w:id="60" w:name="_Toc71878892"/>
      <w:r>
        <w:rPr>
          <w:rFonts w:hint="eastAsia"/>
        </w:rPr>
        <w:t>第一节 完善交通设施网络</w:t>
      </w:r>
      <w:bookmarkEnd w:id="60"/>
    </w:p>
    <w:p w14:paraId="39E77E85">
      <w:pPr>
        <w:spacing w:line="640" w:lineRule="exact"/>
        <w:ind w:firstLine="640" w:firstLineChars="200"/>
        <w:rPr>
          <w:rFonts w:ascii="仿宋_GB2312" w:hAnsi="仿宋" w:eastAsia="仿宋_GB2312" w:cs="仿宋"/>
          <w:sz w:val="32"/>
          <w:szCs w:val="32"/>
          <w:lang w:val="mn-Mong-CN"/>
        </w:rPr>
      </w:pPr>
      <w:r>
        <w:rPr>
          <w:rFonts w:hint="eastAsia" w:ascii="仿宋_GB2312" w:hAnsi="仿宋" w:eastAsia="仿宋_GB2312" w:cs="仿宋"/>
          <w:sz w:val="32"/>
          <w:szCs w:val="32"/>
        </w:rPr>
        <w:t>积极落实交通强国战略，</w:t>
      </w:r>
      <w:r>
        <w:rPr>
          <w:rFonts w:hint="eastAsia" w:ascii="仿宋_GB2312" w:hAnsi="仿宋" w:eastAsia="仿宋_GB2312" w:cs="仿宋"/>
          <w:sz w:val="32"/>
          <w:szCs w:val="32"/>
          <w:lang w:val="mn-Mong-CN"/>
        </w:rPr>
        <w:t>按照“适应发展、适度超前、服务经济”的原则，优化综合交通网络结构，着力推进交通路网升级，强化各种运输方式的有效衔接，</w:t>
      </w:r>
      <w:r>
        <w:rPr>
          <w:rFonts w:hint="eastAsia" w:ascii="仿宋_GB2312" w:hAnsi="仿宋" w:eastAsia="仿宋_GB2312" w:cs="仿宋"/>
          <w:sz w:val="32"/>
          <w:szCs w:val="32"/>
        </w:rPr>
        <w:t>增强</w:t>
      </w:r>
      <w:r>
        <w:rPr>
          <w:rFonts w:hint="eastAsia" w:ascii="仿宋_GB2312" w:hAnsi="仿宋" w:eastAsia="仿宋_GB2312" w:cs="仿宋"/>
          <w:sz w:val="32"/>
          <w:szCs w:val="32"/>
          <w:lang w:val="mn-Mong-CN"/>
        </w:rPr>
        <w:t>交通运输网络对旗域经济发展的支撑作用，建设结构合理、功能完善、安全便捷、内外联通的交通网络。</w:t>
      </w:r>
    </w:p>
    <w:p w14:paraId="21669BE6">
      <w:pPr>
        <w:spacing w:line="640" w:lineRule="exact"/>
        <w:ind w:firstLine="643" w:firstLineChars="200"/>
        <w:rPr>
          <w:rFonts w:ascii="仿宋_GB2312" w:hAnsi="仿宋" w:eastAsia="仿宋_GB2312" w:cs="仿宋"/>
          <w:sz w:val="32"/>
          <w:szCs w:val="32"/>
        </w:rPr>
      </w:pPr>
      <w:r>
        <w:rPr>
          <w:rFonts w:hint="eastAsia" w:ascii="仿宋_GB2312" w:hAnsi="仿宋" w:eastAsia="仿宋_GB2312" w:cs="楷体"/>
          <w:b/>
          <w:kern w:val="2"/>
          <w:sz w:val="32"/>
          <w:szCs w:val="32"/>
          <w:lang w:val="mn-Mong-CN"/>
        </w:rPr>
        <w:t>加快干线路网升级改造。</w:t>
      </w:r>
      <w:r>
        <w:rPr>
          <w:rFonts w:hint="eastAsia" w:ascii="仿宋_GB2312" w:hAnsi="仿宋" w:eastAsia="仿宋_GB2312"/>
          <w:sz w:val="32"/>
          <w:szCs w:val="32"/>
          <w:lang w:val="mn-Mong-CN"/>
        </w:rPr>
        <w:t>以国省干线、高速公路联接线、旅游干线、抵边公路、交通枢纽联接线等为重点，实施干线路网升级改造工程，完善与周边公路的衔接贯通，全面提升干线公路网的通行能力和服务水平。</w:t>
      </w:r>
      <w:r>
        <w:rPr>
          <w:rFonts w:hint="eastAsia" w:ascii="仿宋_GB2312" w:hAnsi="仿宋" w:eastAsia="仿宋_GB2312"/>
          <w:sz w:val="32"/>
          <w:szCs w:val="32"/>
        </w:rPr>
        <w:t>“十四五”期间，全旗人口较大规模的自然村通硬化路300公里，建制村双车道改造150公里，农村公路提质改造120公里，资源路旅游路产业路路网改造50公里，建设联网路100公里</w:t>
      </w:r>
      <w:r>
        <w:rPr>
          <w:rFonts w:hint="eastAsia" w:ascii="仿宋_GB2312" w:hAnsi="仿宋" w:eastAsia="仿宋_GB2312" w:cs="仿宋"/>
          <w:sz w:val="32"/>
          <w:szCs w:val="32"/>
        </w:rPr>
        <w:t>。</w:t>
      </w:r>
    </w:p>
    <w:p w14:paraId="162BCB24">
      <w:pPr>
        <w:pStyle w:val="23"/>
        <w:widowControl w:val="0"/>
        <w:spacing w:line="578" w:lineRule="exact"/>
        <w:ind w:firstLine="643"/>
        <w:jc w:val="both"/>
        <w:rPr>
          <w:rFonts w:ascii="Times New Roman" w:hAnsi="Times New Roman" w:eastAsia="仿宋_GB2312"/>
          <w:color w:val="000000"/>
        </w:rPr>
      </w:pPr>
      <w:r>
        <w:rPr>
          <w:rFonts w:hint="eastAsia" w:ascii="仿宋_GB2312" w:hAnsi="仿宋" w:eastAsia="仿宋_GB2312" w:cs="楷体"/>
          <w:b/>
          <w:kern w:val="2"/>
        </w:rPr>
        <w:t>完善农村牧区道路网络。</w:t>
      </w:r>
      <w:r>
        <w:rPr>
          <w:rFonts w:hint="eastAsia" w:ascii="仿宋_GB2312" w:hAnsi="仿宋" w:eastAsia="仿宋_GB2312" w:cs="仿宋"/>
        </w:rPr>
        <w:t>实施乡村公路建设行动，</w:t>
      </w:r>
      <w:r>
        <w:rPr>
          <w:rFonts w:hint="eastAsia" w:ascii="仿宋_GB2312" w:hAnsi="仿宋" w:eastAsia="仿宋_GB2312" w:cs="仿宋"/>
          <w:lang w:val="mn-Mong-CN"/>
        </w:rPr>
        <w:t>推进“四好农村路”建设。加快实施撤并建制村、自然村道路及主巷道硬化工程，稳步实施“千村美丽”示范村道路建设。有序推进乡道路网提升工程；进一步加快“三路一危”（断头路、瓶颈路、年久失修路以及危桥）改造和农村公路安全生命防护工程建设。到 2025 年实现具备条件的自然村道路及主巷道硬化路全覆盖，农村公路连接干线、区域联网、互联互通的格局基本形成，农村公路网整体服务水平全面提升。</w:t>
      </w:r>
      <w:r>
        <w:rPr>
          <w:rFonts w:hint="eastAsia" w:ascii="仿宋_GB2312" w:hAnsi="仿宋" w:eastAsia="仿宋_GB2312"/>
        </w:rPr>
        <w:t>“十四五”期间，</w:t>
      </w:r>
      <w:r>
        <w:rPr>
          <w:rFonts w:ascii="Times New Roman" w:hAnsi="Times New Roman" w:eastAsia="仿宋_GB2312"/>
          <w:color w:val="000000"/>
        </w:rPr>
        <w:t>新建改造农村公路</w:t>
      </w:r>
      <w:r>
        <w:rPr>
          <w:rFonts w:hint="eastAsia" w:ascii="仿宋_GB2312" w:hAnsi="Times New Roman" w:eastAsia="仿宋_GB2312"/>
          <w:color w:val="000000"/>
        </w:rPr>
        <w:t>1000公里</w:t>
      </w:r>
      <w:r>
        <w:rPr>
          <w:rFonts w:ascii="Times New Roman" w:hAnsi="Times New Roman" w:eastAsia="仿宋_GB2312"/>
          <w:color w:val="000000"/>
        </w:rPr>
        <w:t>以上。</w:t>
      </w:r>
    </w:p>
    <w:p w14:paraId="2EED2E90">
      <w:pPr>
        <w:spacing w:line="640" w:lineRule="exact"/>
        <w:ind w:firstLine="643" w:firstLineChars="200"/>
        <w:rPr>
          <w:rFonts w:ascii="仿宋_GB2312" w:hAnsi="仿宋" w:eastAsia="仿宋_GB2312" w:cs="仿宋"/>
          <w:sz w:val="32"/>
          <w:szCs w:val="32"/>
          <w:lang w:val="mn-Mong-CN"/>
        </w:rPr>
      </w:pPr>
      <w:r>
        <w:rPr>
          <w:rFonts w:hint="eastAsia" w:ascii="仿宋_GB2312" w:hAnsi="仿宋" w:eastAsia="仿宋_GB2312" w:cs="楷体"/>
          <w:b/>
          <w:kern w:val="2"/>
          <w:sz w:val="32"/>
          <w:szCs w:val="32"/>
          <w:lang w:val="mn-Mong-CN"/>
        </w:rPr>
        <w:t>提升交通枢纽能力。</w:t>
      </w:r>
      <w:r>
        <w:rPr>
          <w:rFonts w:hint="eastAsia" w:ascii="仿宋_GB2312" w:hAnsi="仿宋" w:eastAsia="仿宋_GB2312" w:cs="仿宋"/>
          <w:sz w:val="32"/>
          <w:szCs w:val="32"/>
          <w:lang w:val="mn-Mong-CN"/>
        </w:rPr>
        <w:t>建设</w:t>
      </w:r>
      <w:r>
        <w:rPr>
          <w:rFonts w:hint="eastAsia" w:ascii="仿宋_GB2312" w:hAnsi="仿宋" w:eastAsia="仿宋_GB2312" w:cs="仿宋"/>
          <w:sz w:val="32"/>
          <w:szCs w:val="32"/>
        </w:rPr>
        <w:t>达茂旗</w:t>
      </w:r>
      <w:r>
        <w:rPr>
          <w:rFonts w:hint="eastAsia" w:ascii="仿宋_GB2312" w:hAnsi="仿宋" w:eastAsia="仿宋_GB2312" w:cs="仿宋"/>
          <w:sz w:val="32"/>
          <w:szCs w:val="32"/>
          <w:lang w:val="mn-Mong-CN"/>
        </w:rPr>
        <w:t>公交枢纽站场，实施</w:t>
      </w:r>
      <w:r>
        <w:rPr>
          <w:rFonts w:hint="eastAsia" w:ascii="仿宋_GB2312" w:hAnsi="仿宋" w:eastAsia="仿宋_GB2312" w:cs="仿宋"/>
          <w:sz w:val="32"/>
          <w:szCs w:val="32"/>
        </w:rPr>
        <w:t>达茂旗</w:t>
      </w:r>
      <w:r>
        <w:rPr>
          <w:rFonts w:hint="eastAsia" w:ascii="仿宋_GB2312" w:hAnsi="仿宋" w:eastAsia="仿宋_GB2312" w:cs="仿宋"/>
          <w:sz w:val="32"/>
          <w:szCs w:val="32"/>
          <w:lang w:val="mn-Mong-CN"/>
        </w:rPr>
        <w:t>货运中心、重点乡镇客运站改扩建、旅游景区客运站及重点乡镇物流场站等公路客货运输枢纽站场项目，逐步建成布局合理、功能完善、衔接顺畅、便捷高效的综合交通运输网体系。</w:t>
      </w:r>
      <w:r>
        <w:rPr>
          <w:rFonts w:hint="eastAsia" w:ascii="仿宋_GB2312" w:hAnsi="仿宋" w:eastAsia="仿宋_GB2312"/>
          <w:sz w:val="32"/>
          <w:szCs w:val="32"/>
        </w:rPr>
        <w:t>配套建设乡村服务站11座、候车亭80个。</w:t>
      </w:r>
    </w:p>
    <w:p w14:paraId="345988EF">
      <w:pPr>
        <w:spacing w:line="640" w:lineRule="exact"/>
        <w:ind w:firstLine="643" w:firstLineChars="200"/>
        <w:rPr>
          <w:rFonts w:eastAsia="仿宋_GB2312"/>
          <w:lang w:val="mn-Mong-CN"/>
        </w:rPr>
      </w:pPr>
      <w:r>
        <w:rPr>
          <w:rFonts w:hint="eastAsia" w:ascii="仿宋_GB2312" w:hAnsi="仿宋" w:eastAsia="仿宋_GB2312" w:cs="楷体"/>
          <w:b/>
          <w:kern w:val="2"/>
          <w:sz w:val="32"/>
          <w:szCs w:val="32"/>
          <w:lang w:val="mn-Mong-CN"/>
        </w:rPr>
        <w:t>加快铁路网建设。</w:t>
      </w:r>
      <w:r>
        <w:rPr>
          <w:rFonts w:hint="eastAsia" w:ascii="仿宋_GB2312" w:hAnsi="仿宋" w:eastAsia="仿宋_GB2312" w:cs="仿宋"/>
          <w:sz w:val="32"/>
          <w:szCs w:val="32"/>
          <w:lang w:val="mn-Mong-CN"/>
        </w:rPr>
        <w:t>完善既有包满铁路线，对包头至白云段铁路进行电气化改造；推动新建白云站到钢铁稀土原料加工园铁路专用线、白云南站到新型工业园铁路专用线、满都拉站到口岸物流园区铁路专用线；规划建设包满线百灵庙站至百灵庙镇铁路线；加快推动满都拉口岸跨境铁路建设，</w:t>
      </w:r>
      <w:r>
        <w:rPr>
          <w:rFonts w:hint="eastAsia" w:ascii="仿宋_GB2312" w:hAnsi="仿宋" w:eastAsia="仿宋_GB2312"/>
          <w:sz w:val="32"/>
          <w:szCs w:val="32"/>
        </w:rPr>
        <w:t>形成又一条欧洲中部班列通道，畅通欧洲、蒙古国到国内的货运和客运通道</w:t>
      </w:r>
      <w:r>
        <w:rPr>
          <w:rFonts w:hint="eastAsia" w:ascii="仿宋_GB2312" w:hAnsi="仿宋" w:eastAsia="仿宋_GB2312" w:cs="仿宋"/>
          <w:sz w:val="32"/>
          <w:szCs w:val="32"/>
          <w:lang w:val="mn-Mong-CN"/>
        </w:rPr>
        <w:t>。</w:t>
      </w:r>
    </w:p>
    <w:p w14:paraId="123D710A">
      <w:pPr>
        <w:rPr>
          <w:rFonts w:ascii="楷体" w:hAnsi="楷体" w:eastAsia="楷体" w:cs="楷体"/>
          <w:sz w:val="32"/>
          <w:szCs w:val="32"/>
          <w:lang w:val="mn-Mong-CN"/>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3C0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2" w:hRule="atLeast"/>
        </w:trPr>
        <w:tc>
          <w:tcPr>
            <w:tcW w:w="8522" w:type="dxa"/>
          </w:tcPr>
          <w:p w14:paraId="6E85CA9C">
            <w:pPr>
              <w:pStyle w:val="135"/>
              <w:spacing w:before="240"/>
              <w:ind w:firstLine="482"/>
              <w:jc w:val="center"/>
              <w:rPr>
                <w:b/>
                <w:color w:val="auto"/>
              </w:rPr>
            </w:pPr>
            <w:r>
              <w:rPr>
                <w:rFonts w:hint="eastAsia"/>
                <w:b/>
                <w:color w:val="auto"/>
              </w:rPr>
              <w:t>专栏18  交通基础设施</w:t>
            </w:r>
          </w:p>
          <w:p w14:paraId="542179BB">
            <w:pPr>
              <w:pStyle w:val="135"/>
              <w:rPr>
                <w:rFonts w:ascii="仿宋" w:hAnsi="仿宋" w:eastAsia="仿宋" w:cs="仿宋"/>
                <w:color w:val="auto"/>
                <w:sz w:val="32"/>
                <w:szCs w:val="32"/>
              </w:rPr>
            </w:pPr>
            <w:r>
              <w:rPr>
                <w:rFonts w:hint="eastAsia"/>
                <w:color w:val="auto"/>
              </w:rPr>
              <w:t>包白铁路电气化改造、工业园区铁路专用线建设项目、口岸物流园区铁路专用线建设项目、铁路线连接和跨境铁路、资源路旅游路产业路项目、公路提质改造项目、建制村通双车道公路项目、乡镇通三级及以上公路项目、自然村通硬化路项目。</w:t>
            </w:r>
          </w:p>
        </w:tc>
      </w:tr>
    </w:tbl>
    <w:p w14:paraId="10F7BE4B">
      <w:pPr>
        <w:pStyle w:val="4"/>
      </w:pPr>
      <w:bookmarkStart w:id="61" w:name="_Toc71878893"/>
      <w:r>
        <w:rPr>
          <w:rFonts w:hint="eastAsia"/>
        </w:rPr>
        <w:t>第二节 完善水利基础设施</w:t>
      </w:r>
      <w:bookmarkEnd w:id="61"/>
    </w:p>
    <w:p w14:paraId="47C4AA86">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坚持“量水而行、以水定需、三水共治”的原则，严守水资源、水环境、水生态红线，在水资源节约、水环境保护、水生态修复综合施策精准发力。</w:t>
      </w:r>
    </w:p>
    <w:p w14:paraId="40462936">
      <w:pPr>
        <w:spacing w:line="640" w:lineRule="exact"/>
        <w:ind w:firstLine="643" w:firstLineChars="200"/>
        <w:rPr>
          <w:rFonts w:ascii="仿宋_GB2312" w:hAnsi="仿宋" w:eastAsia="仿宋_GB2312" w:cs="仿宋_GB2312"/>
          <w:sz w:val="32"/>
          <w:szCs w:val="32"/>
        </w:rPr>
      </w:pPr>
      <w:r>
        <w:rPr>
          <w:rFonts w:hint="eastAsia" w:ascii="仿宋_GB2312" w:hAnsi="仿宋" w:eastAsia="仿宋_GB2312" w:cs="楷体"/>
          <w:b/>
          <w:kern w:val="2"/>
          <w:sz w:val="32"/>
          <w:szCs w:val="32"/>
        </w:rPr>
        <w:t>保障水资源安全供应。</w:t>
      </w:r>
      <w:r>
        <w:rPr>
          <w:rFonts w:hint="eastAsia" w:ascii="仿宋_GB2312" w:hAnsi="仿宋" w:eastAsia="仿宋_GB2312" w:cs="仿宋_GB2312"/>
          <w:sz w:val="32"/>
          <w:szCs w:val="32"/>
        </w:rPr>
        <w:t>构建大中小微水利工程相结合的水资源配置体系，提高水资源的高效节约利用,为经济发展提供安全的水资源保障。完善城乡供水一体化和人口分散区域重点小型标准化供水设施，加快苏木乡镇备用水源建设，继续实施农村牧区饮水安全巩固提升工程。加强地下水开发利用管理，完善地下水监控体系。积极探索城镇供水管理新模式，采取股份合作等方式解决城镇供水建设资金缺口。“十四五”期间，实施百灵庙镇中水利用供水工程、抗旱水源工程、水源扩增工程、牧区节水灌溉升级改造工程、农村饮水安全巩固提升工程和塔令宫水库工程。</w:t>
      </w:r>
    </w:p>
    <w:p w14:paraId="084AC3C9">
      <w:pPr>
        <w:spacing w:line="640" w:lineRule="exact"/>
        <w:ind w:firstLine="643" w:firstLineChars="200"/>
        <w:rPr>
          <w:rFonts w:ascii="仿宋_GB2312" w:hAnsi="仿宋" w:eastAsia="仿宋_GB2312" w:cs="仿宋_GB2312"/>
          <w:sz w:val="32"/>
          <w:szCs w:val="32"/>
        </w:rPr>
      </w:pPr>
      <w:r>
        <w:rPr>
          <w:rFonts w:hint="eastAsia" w:ascii="仿宋_GB2312" w:hAnsi="仿宋" w:eastAsia="仿宋_GB2312" w:cs="楷体"/>
          <w:b/>
          <w:kern w:val="2"/>
          <w:sz w:val="32"/>
          <w:szCs w:val="32"/>
        </w:rPr>
        <w:t>提升防灾减灾保障能力。</w:t>
      </w:r>
      <w:r>
        <w:rPr>
          <w:rFonts w:hint="eastAsia" w:ascii="仿宋_GB2312" w:hAnsi="仿宋" w:eastAsia="仿宋_GB2312" w:cs="Arial"/>
          <w:sz w:val="32"/>
          <w:szCs w:val="32"/>
        </w:rPr>
        <w:t>加大水利防灾救灾工作力度。组织开展</w:t>
      </w:r>
      <w:r>
        <w:rPr>
          <w:rFonts w:hint="eastAsia" w:ascii="仿宋_GB2312" w:hAnsi="仿宋" w:eastAsia="仿宋_GB2312"/>
          <w:sz w:val="32"/>
          <w:szCs w:val="32"/>
        </w:rPr>
        <w:t>应急抢险</w:t>
      </w:r>
      <w:r>
        <w:rPr>
          <w:rFonts w:hint="eastAsia" w:ascii="仿宋_GB2312" w:hAnsi="仿宋" w:eastAsia="仿宋_GB2312" w:cs="Arial"/>
          <w:sz w:val="32"/>
          <w:szCs w:val="32"/>
        </w:rPr>
        <w:t>演练，提高实战能力。进一步完善水旱灾害防御预警预报设施，做好山洪灾害防御非工程措施项目建设和预警预报设施运行维护，确保水旱灾害预警预报信息传递及时准确</w:t>
      </w:r>
      <w:r>
        <w:rPr>
          <w:rFonts w:hint="eastAsia" w:ascii="仿宋_GB2312" w:hAnsi="仿宋" w:eastAsia="仿宋_GB2312"/>
          <w:sz w:val="32"/>
          <w:szCs w:val="32"/>
        </w:rPr>
        <w:t>。</w:t>
      </w:r>
      <w:r>
        <w:rPr>
          <w:rFonts w:hint="eastAsia" w:ascii="仿宋_GB2312" w:hAnsi="仿宋" w:eastAsia="仿宋_GB2312" w:cs="仿宋_GB2312"/>
          <w:sz w:val="32"/>
          <w:szCs w:val="32"/>
        </w:rPr>
        <w:t>实施水库除险加固、中小河流域治理和山洪沟治理工程，</w:t>
      </w:r>
      <w:r>
        <w:rPr>
          <w:rFonts w:hint="eastAsia" w:ascii="仿宋_GB2312" w:hAnsi="仿宋" w:eastAsia="仿宋_GB2312"/>
          <w:sz w:val="32"/>
          <w:szCs w:val="32"/>
        </w:rPr>
        <w:t>开展水毁工程修复，</w:t>
      </w:r>
      <w:r>
        <w:rPr>
          <w:rFonts w:hint="eastAsia" w:ascii="仿宋_GB2312" w:hAnsi="仿宋" w:eastAsia="仿宋_GB2312" w:cs="仿宋_GB2312"/>
          <w:sz w:val="32"/>
          <w:szCs w:val="32"/>
        </w:rPr>
        <w:t>提升水利设施防洪减灾能力。</w:t>
      </w:r>
    </w:p>
    <w:p w14:paraId="4F1061B3">
      <w:pPr>
        <w:spacing w:line="640" w:lineRule="exact"/>
        <w:ind w:firstLine="643" w:firstLineChars="200"/>
        <w:rPr>
          <w:rFonts w:ascii="仿宋_GB2312" w:hAnsi="仿宋" w:eastAsia="仿宋_GB2312" w:cs="仿宋_GB2312"/>
          <w:sz w:val="32"/>
          <w:szCs w:val="32"/>
        </w:rPr>
      </w:pPr>
      <w:r>
        <w:rPr>
          <w:rFonts w:hint="eastAsia" w:ascii="仿宋_GB2312" w:hAnsi="仿宋" w:eastAsia="仿宋_GB2312" w:cs="楷体"/>
          <w:b/>
          <w:kern w:val="2"/>
          <w:sz w:val="32"/>
          <w:szCs w:val="32"/>
        </w:rPr>
        <w:t>实施最严格水资源管理制度。</w:t>
      </w:r>
      <w:r>
        <w:rPr>
          <w:rFonts w:hint="eastAsia" w:ascii="仿宋_GB2312" w:hAnsi="仿宋" w:eastAsia="仿宋_GB2312" w:cs="仿宋_GB2312"/>
          <w:sz w:val="32"/>
          <w:szCs w:val="32"/>
        </w:rPr>
        <w:t>统筹推进水资源管理,进一步优化水资源配置，强化水资源合理开发、节约利用和统一调度。加快建立水资源预警机制,加强各行业、各领域取用水监管,实施取水许可动态管理和水资源有偿使用制度。充分发挥水资源监控中心作用,加强用水计量管控,分级分类逐步扩大地下水远程监控覆盖范围。推进城镇自来水智能计量。实行水资源消耗总量和强度双控行动,万元GDP用水量和万元工业增加值用水量分别降低6%和3%，提高用水效率。巩固节水型社会达标建设成果，推行合同用水管理,强化节水载体建设。加大宣传力度，完善节水制度及工作管理机制。深化水价改革，实行阶梯水价。全旗总用水量控制在5400万立方米以内。</w:t>
      </w:r>
    </w:p>
    <w:p w14:paraId="45DF370F">
      <w:pPr>
        <w:spacing w:line="640" w:lineRule="exact"/>
        <w:ind w:firstLine="643" w:firstLineChars="200"/>
        <w:rPr>
          <w:rFonts w:ascii="仿宋_GB2312" w:hAnsi="楷体" w:eastAsia="仿宋_GB2312" w:cstheme="majorBidi"/>
          <w:bCs/>
          <w:sz w:val="32"/>
          <w:szCs w:val="32"/>
        </w:rPr>
      </w:pPr>
      <w:r>
        <w:rPr>
          <w:rFonts w:hint="eastAsia" w:ascii="楷体_GB2312" w:hAnsi="楷体" w:eastAsia="楷体_GB2312" w:cstheme="majorBidi"/>
          <w:b/>
          <w:bCs/>
          <w:sz w:val="32"/>
          <w:szCs w:val="32"/>
        </w:rPr>
        <w:t>建立健全水生态环境保护体制机制。</w:t>
      </w:r>
      <w:r>
        <w:rPr>
          <w:rFonts w:hint="eastAsia" w:ascii="仿宋_GB2312" w:hAnsi="楷体" w:eastAsia="仿宋_GB2312" w:cstheme="majorBidi"/>
          <w:bCs/>
          <w:sz w:val="32"/>
          <w:szCs w:val="32"/>
        </w:rPr>
        <w:t>加强水土流失综合防治和水资源水环境超载区修复治理，改善河湖和地下水生态环境。全面推行河湖长制，建立健全以主要领导负责制为核心的责任体系，完善旗、乡、村三级河湖长管理体系，深入推进落实河湖水资源保护、水域岸线管理保护、水污染防治、水环境治理、水生态修复、水执法监管等六大任务，全面排查河湖管理范围内的乱占、乱采、乱堆、乱建等涉河涉湖违法违规问题,实现河湖“四乱”问题清理整治常态化、规范化、制度化。“十四五”期间，严格落实河湖岸线保护利用规划，实施清洁小流域综合治理水土保持工程、水源地安全保障达标工程。</w:t>
      </w:r>
    </w:p>
    <w:p w14:paraId="2C0539E9">
      <w:pPr>
        <w:spacing w:line="640" w:lineRule="exact"/>
        <w:rPr>
          <w:sz w:val="36"/>
          <w:szCs w:val="36"/>
          <w:lang w:val="zh-CN"/>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17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8522" w:type="dxa"/>
          </w:tcPr>
          <w:p w14:paraId="43B311A8">
            <w:pPr>
              <w:pStyle w:val="135"/>
              <w:spacing w:before="240"/>
              <w:ind w:firstLine="482"/>
              <w:jc w:val="center"/>
              <w:rPr>
                <w:b/>
                <w:color w:val="auto"/>
              </w:rPr>
            </w:pPr>
            <w:r>
              <w:rPr>
                <w:rFonts w:hint="eastAsia"/>
                <w:b/>
                <w:color w:val="auto"/>
              </w:rPr>
              <w:t>专栏19  水利基础设施</w:t>
            </w:r>
          </w:p>
          <w:p w14:paraId="0FCEF70E">
            <w:pPr>
              <w:pStyle w:val="135"/>
              <w:rPr>
                <w:rFonts w:asciiTheme="majorEastAsia" w:hAnsiTheme="majorEastAsia" w:eastAsiaTheme="majorEastAsia"/>
                <w:color w:val="auto"/>
              </w:rPr>
            </w:pPr>
            <w:r>
              <w:rPr>
                <w:rFonts w:hint="eastAsia" w:cs="仿宋_GB2312" w:asciiTheme="majorEastAsia" w:hAnsiTheme="majorEastAsia" w:eastAsiaTheme="majorEastAsia"/>
                <w:color w:val="auto"/>
              </w:rPr>
              <w:t>百灵庙镇中水利用供水项目、备用水源地建设项目、抗旱水源建设项目、牧区节水灌溉升级改造项目、农村饮水安全巩固提升项目、流域河道综合治理项目、城市防洪排涝提升项目、山洪灾害防治项目、塔令宫水库建设项目、水库除险加固项目、生态清洁小流域水保综合治理项目、集中式饮用水水源地保护项目、水利信息化建设项目。</w:t>
            </w:r>
          </w:p>
        </w:tc>
      </w:tr>
    </w:tbl>
    <w:p w14:paraId="399B6912">
      <w:pPr>
        <w:pStyle w:val="4"/>
      </w:pPr>
      <w:bookmarkStart w:id="62" w:name="_Toc71878894"/>
      <w:r>
        <w:rPr>
          <w:rFonts w:hint="eastAsia"/>
        </w:rPr>
        <w:t>第三节 加强信息基础设施建设</w:t>
      </w:r>
      <w:bookmarkEnd w:id="62"/>
    </w:p>
    <w:p w14:paraId="1CB727B3">
      <w:pPr>
        <w:pStyle w:val="132"/>
        <w:tabs>
          <w:tab w:val="left" w:pos="1299"/>
        </w:tabs>
        <w:spacing w:line="640" w:lineRule="exact"/>
        <w:ind w:firstLine="627" w:firstLineChars="196"/>
        <w:rPr>
          <w:rFonts w:ascii="仿宋_GB2312" w:hAnsi="仿宋" w:eastAsia="仿宋_GB2312" w:cs="楷体"/>
          <w:b/>
          <w:lang w:val="mn-Mong-CN" w:eastAsia="zh-CN"/>
        </w:rPr>
      </w:pPr>
      <w:r>
        <w:rPr>
          <w:rFonts w:hint="eastAsia" w:ascii="仿宋_GB2312" w:hAnsi="仿宋" w:eastAsia="仿宋_GB2312" w:cs="仿宋"/>
          <w:lang w:val="mn-Mong-CN"/>
        </w:rPr>
        <w:t>落实网络强国战略，</w:t>
      </w:r>
      <w:r>
        <w:rPr>
          <w:rFonts w:ascii="Times New Roman" w:hAnsi="Times New Roman" w:eastAsia="仿宋_GB2312"/>
        </w:rPr>
        <w:t>系统布局新型基础设施</w:t>
      </w:r>
      <w:r>
        <w:rPr>
          <w:rFonts w:hint="eastAsia" w:ascii="Times New Roman" w:hAnsi="Times New Roman" w:eastAsia="仿宋_GB2312"/>
          <w:lang w:eastAsia="zh-CN"/>
        </w:rPr>
        <w:t>，</w:t>
      </w:r>
      <w:r>
        <w:rPr>
          <w:rFonts w:ascii="Times New Roman" w:hAnsi="Times New Roman" w:eastAsia="仿宋_GB2312"/>
        </w:rPr>
        <w:t>加速推进第五代移动通信</w:t>
      </w:r>
      <w:r>
        <w:rPr>
          <w:rFonts w:hint="eastAsia" w:ascii="Times New Roman" w:hAnsi="Times New Roman" w:eastAsia="仿宋_GB2312"/>
          <w:lang w:eastAsia="zh-CN"/>
        </w:rPr>
        <w:t>（</w:t>
      </w:r>
      <w:r>
        <w:rPr>
          <w:rFonts w:hint="eastAsia" w:ascii="Times New Roman" w:hAnsi="Times New Roman" w:eastAsia="仿宋_GB2312"/>
          <w:lang w:val="en-US" w:eastAsia="zh-CN"/>
        </w:rPr>
        <w:t>5G</w:t>
      </w:r>
      <w:r>
        <w:rPr>
          <w:rFonts w:hint="eastAsia" w:ascii="Times New Roman" w:hAnsi="Times New Roman" w:eastAsia="仿宋_GB2312"/>
          <w:lang w:eastAsia="zh-CN"/>
        </w:rPr>
        <w:t>）</w:t>
      </w:r>
      <w:r>
        <w:rPr>
          <w:rFonts w:ascii="Times New Roman" w:hAnsi="Times New Roman" w:eastAsia="仿宋_GB2312"/>
        </w:rPr>
        <w:t>、光纤骨干网、工业互联网、物联网、大数据中心等信息基础设施建设，有序推进数字设施化、设施数字化，建设适应经济社会发展的信息网络基础设施，提升产业发展、公共服务、社会治理等领域数字化智能化水平。</w:t>
      </w:r>
    </w:p>
    <w:p w14:paraId="1AE6663D">
      <w:pPr>
        <w:pStyle w:val="132"/>
        <w:tabs>
          <w:tab w:val="left" w:pos="1299"/>
        </w:tabs>
        <w:spacing w:line="640" w:lineRule="exact"/>
        <w:ind w:firstLine="630" w:firstLineChars="196"/>
        <w:rPr>
          <w:rFonts w:ascii="仿宋_GB2312" w:hAnsi="仿宋" w:eastAsia="仿宋_GB2312" w:cs="仿宋"/>
          <w:lang w:val="mn-Mong-CN"/>
        </w:rPr>
      </w:pPr>
      <w:r>
        <w:rPr>
          <w:rFonts w:hint="eastAsia" w:ascii="仿宋_GB2312" w:hAnsi="仿宋" w:eastAsia="仿宋_GB2312" w:cs="楷体"/>
          <w:b/>
          <w:lang w:val="mn-Mong-CN"/>
        </w:rPr>
        <w:t>构建高速共享安全的信息网络。</w:t>
      </w:r>
      <w:r>
        <w:rPr>
          <w:rFonts w:hint="eastAsia" w:ascii="仿宋_GB2312" w:hAnsi="仿宋" w:eastAsia="仿宋_GB2312" w:cs="仿宋"/>
          <w:lang w:val="mn-Mong-CN"/>
        </w:rPr>
        <w:t>加快实施“宽带中国”、“宽带乡村”基础网络完善工程，到 2025 年，城区光纤到户覆盖家庭达到 100%</w:t>
      </w:r>
      <w:r>
        <w:rPr>
          <w:rFonts w:hint="eastAsia" w:ascii="仿宋_GB2312" w:hAnsi="仿宋" w:eastAsia="仿宋_GB2312" w:cs="仿宋"/>
          <w:lang w:val="mn-Mong-CN" w:eastAsia="zh-CN"/>
        </w:rPr>
        <w:t>，</w:t>
      </w:r>
      <w:r>
        <w:rPr>
          <w:rFonts w:hint="eastAsia" w:ascii="仿宋_GB2312" w:hAnsi="仿宋" w:eastAsia="仿宋_GB2312" w:cs="仿宋"/>
          <w:lang w:val="mn-Mong-CN"/>
        </w:rPr>
        <w:t>行政村实现村村通光纤。积极应用物联网、云计算、大数据、空间地理信息集成等新一代信息技术，协同搭建一体化、基于云计算的电子政务与公共信息网络平台、企业信息管理平台和电子商务平台。加快新一代移动互联网建设，推动第五代移动通信网络和无线局域网全覆盖，全旗新建5G基站280座</w:t>
      </w:r>
      <w:r>
        <w:rPr>
          <w:rFonts w:hint="eastAsia" w:ascii="仿宋_GB2312" w:hAnsi="仿宋" w:eastAsia="仿宋_GB2312" w:cs="仿宋"/>
          <w:lang w:val="mn-Mong-CN" w:eastAsia="zh-CN"/>
        </w:rPr>
        <w:t>，</w:t>
      </w:r>
      <w:r>
        <w:rPr>
          <w:rFonts w:ascii="仿宋_GB2312" w:hAnsi="仿宋" w:eastAsia="仿宋_GB2312" w:cs="仿宋"/>
          <w:lang w:val="en-US"/>
        </w:rPr>
        <w:t>实现重点乡镇和重要边境地区5G网络</w:t>
      </w:r>
      <w:r>
        <w:rPr>
          <w:rFonts w:hint="eastAsia" w:ascii="仿宋_GB2312" w:hAnsi="仿宋" w:eastAsia="仿宋_GB2312" w:cs="仿宋"/>
          <w:lang w:val="en-US" w:eastAsia="zh-CN"/>
        </w:rPr>
        <w:t>全</w:t>
      </w:r>
      <w:r>
        <w:rPr>
          <w:rFonts w:ascii="仿宋_GB2312" w:hAnsi="仿宋" w:eastAsia="仿宋_GB2312" w:cs="仿宋"/>
          <w:lang w:val="en-US"/>
        </w:rPr>
        <w:t>覆盖。</w:t>
      </w:r>
      <w:r>
        <w:rPr>
          <w:rFonts w:hint="eastAsia" w:ascii="Times New Roman" w:hAnsi="Times New Roman" w:eastAsia="仿宋_GB2312"/>
          <w:lang w:eastAsia="zh-CN"/>
        </w:rPr>
        <w:t>大</w:t>
      </w:r>
      <w:r>
        <w:rPr>
          <w:rFonts w:ascii="Times New Roman" w:hAnsi="Times New Roman" w:eastAsia="仿宋_GB2312"/>
        </w:rPr>
        <w:t>数据中心建成投运</w:t>
      </w:r>
      <w:r>
        <w:rPr>
          <w:rFonts w:hint="eastAsia" w:ascii="Times New Roman" w:hAnsi="Times New Roman" w:eastAsia="仿宋_GB2312"/>
          <w:lang w:eastAsia="zh-CN"/>
        </w:rPr>
        <w:t>，</w:t>
      </w:r>
      <w:r>
        <w:rPr>
          <w:rFonts w:ascii="Times New Roman" w:hAnsi="Times New Roman" w:eastAsia="仿宋_GB2312"/>
        </w:rPr>
        <w:t>建成网络协同制造</w:t>
      </w:r>
      <w:r>
        <w:rPr>
          <w:rFonts w:hint="eastAsia" w:ascii="Times New Roman" w:hAnsi="Times New Roman" w:eastAsia="仿宋_GB2312"/>
          <w:lang w:eastAsia="zh-CN"/>
        </w:rPr>
        <w:t>2</w:t>
      </w:r>
      <w:r>
        <w:rPr>
          <w:rFonts w:ascii="Times New Roman" w:hAnsi="Times New Roman" w:eastAsia="仿宋_GB2312"/>
        </w:rPr>
        <w:t>个示范平台，规模以上企业工业互联网应用覆盖率超过30%</w:t>
      </w:r>
      <w:r>
        <w:rPr>
          <w:rFonts w:hint="eastAsia" w:ascii="Times New Roman" w:hAnsi="Times New Roman" w:eastAsia="仿宋_GB2312"/>
          <w:lang w:eastAsia="zh-CN"/>
        </w:rPr>
        <w:t>。</w:t>
      </w:r>
      <w:r>
        <w:rPr>
          <w:rFonts w:ascii="Times New Roman" w:hAnsi="Times New Roman" w:eastAsia="仿宋_GB2312"/>
        </w:rPr>
        <w:t>完善升级物联网</w:t>
      </w:r>
      <w:r>
        <w:rPr>
          <w:rFonts w:hint="eastAsia" w:ascii="Times New Roman" w:hAnsi="Times New Roman" w:eastAsia="仿宋_GB2312"/>
          <w:lang w:eastAsia="zh-CN"/>
        </w:rPr>
        <w:t>，建设</w:t>
      </w:r>
      <w:r>
        <w:rPr>
          <w:rFonts w:ascii="Times New Roman" w:hAnsi="Times New Roman" w:eastAsia="仿宋_GB2312"/>
        </w:rPr>
        <w:t>4G和5G协同发展的移动物联网综合生态体系</w:t>
      </w:r>
      <w:r>
        <w:rPr>
          <w:rFonts w:hint="eastAsia" w:ascii="Times New Roman" w:hAnsi="Times New Roman" w:eastAsia="仿宋_GB2312"/>
          <w:lang w:eastAsia="zh-CN"/>
        </w:rPr>
        <w:t>。</w:t>
      </w:r>
      <w:r>
        <w:rPr>
          <w:rFonts w:hint="eastAsia" w:ascii="仿宋_GB2312" w:hAnsi="仿宋" w:eastAsia="仿宋_GB2312" w:cs="楷体"/>
          <w:lang w:val="mn-Mong-CN"/>
        </w:rPr>
        <w:t>实施“互联网+”行动。</w:t>
      </w:r>
      <w:r>
        <w:rPr>
          <w:rFonts w:hint="eastAsia" w:ascii="仿宋_GB2312" w:hAnsi="仿宋" w:eastAsia="仿宋_GB2312" w:cs="仿宋"/>
          <w:lang w:val="mn-Mong-CN"/>
        </w:rPr>
        <w:t>以推动智慧</w:t>
      </w:r>
      <w:r>
        <w:rPr>
          <w:rFonts w:hint="eastAsia" w:ascii="仿宋_GB2312" w:hAnsi="仿宋" w:eastAsia="仿宋_GB2312" w:cs="仿宋"/>
        </w:rPr>
        <w:t>达茂</w:t>
      </w:r>
      <w:r>
        <w:rPr>
          <w:rFonts w:hint="eastAsia" w:ascii="仿宋_GB2312" w:hAnsi="仿宋" w:eastAsia="仿宋_GB2312" w:cs="仿宋"/>
          <w:lang w:val="mn-Mong-CN"/>
        </w:rPr>
        <w:t>建设为契机，推进互联网技术及平台广泛深度应用，发展“互联网+”农牧业、工业、旅游、</w:t>
      </w:r>
      <w:r>
        <w:rPr>
          <w:rFonts w:hint="eastAsia" w:ascii="仿宋_GB2312" w:hAnsi="仿宋" w:eastAsia="仿宋_GB2312" w:cs="仿宋"/>
          <w:lang w:val="mn-Mong-CN" w:eastAsia="zh-CN"/>
        </w:rPr>
        <w:t>医疗、</w:t>
      </w:r>
      <w:r>
        <w:rPr>
          <w:rFonts w:hint="eastAsia" w:ascii="仿宋_GB2312" w:hAnsi="仿宋" w:eastAsia="仿宋_GB2312" w:cs="仿宋"/>
          <w:lang w:val="mn-Mong-CN"/>
        </w:rPr>
        <w:t>服务业</w:t>
      </w:r>
      <w:r>
        <w:rPr>
          <w:rFonts w:hint="eastAsia" w:ascii="仿宋_GB2312" w:hAnsi="仿宋" w:eastAsia="仿宋_GB2312" w:cs="仿宋"/>
          <w:lang w:val="mn-Mong-CN" w:eastAsia="zh-CN"/>
        </w:rPr>
        <w:t>等</w:t>
      </w:r>
      <w:r>
        <w:rPr>
          <w:rFonts w:hint="eastAsia" w:ascii="仿宋_GB2312" w:hAnsi="仿宋" w:eastAsia="仿宋_GB2312" w:cs="仿宋"/>
          <w:lang w:val="mn-Mong-CN"/>
        </w:rPr>
        <w:t>。</w:t>
      </w:r>
    </w:p>
    <w:p w14:paraId="0E149374">
      <w:pPr>
        <w:spacing w:line="640" w:lineRule="exact"/>
        <w:ind w:firstLine="643" w:firstLineChars="200"/>
        <w:rPr>
          <w:rFonts w:ascii="仿宋_GB2312" w:hAnsi="仿宋" w:eastAsia="仿宋_GB2312" w:cs="仿宋"/>
          <w:sz w:val="32"/>
          <w:szCs w:val="32"/>
          <w:lang w:val="mn-Mong-CN"/>
        </w:rPr>
      </w:pPr>
      <w:r>
        <w:rPr>
          <w:rFonts w:hint="eastAsia" w:ascii="仿宋_GB2312" w:hAnsi="仿宋" w:eastAsia="仿宋_GB2312" w:cs="楷体"/>
          <w:b/>
          <w:kern w:val="2"/>
          <w:sz w:val="32"/>
          <w:szCs w:val="32"/>
          <w:lang w:val="mn-Mong-CN" w:eastAsia="zh-TW"/>
        </w:rPr>
        <w:t>推进新能源汽车充电桩建设</w:t>
      </w:r>
      <w:r>
        <w:rPr>
          <w:rFonts w:hint="eastAsia" w:ascii="仿宋_GB2312" w:hAnsi="仿宋" w:eastAsia="仿宋_GB2312" w:cs="楷体"/>
          <w:b/>
          <w:kern w:val="2"/>
          <w:sz w:val="32"/>
          <w:szCs w:val="32"/>
          <w:lang w:val="mn-Mong-CN"/>
        </w:rPr>
        <w:t>。</w:t>
      </w:r>
      <w:r>
        <w:rPr>
          <w:rFonts w:hint="eastAsia" w:ascii="仿宋_GB2312" w:hAnsi="仿宋" w:eastAsia="仿宋_GB2312" w:cs="仿宋"/>
          <w:sz w:val="32"/>
          <w:szCs w:val="32"/>
          <w:lang w:val="mn-Mong-CN"/>
        </w:rPr>
        <w:t>在重点苏木乡镇、旅游环线景点设置充电桩，基本建成适度超前、车桩相宜、充换兼容、智能高效的充电桩及换电站基础设施体系，打造全域旅游一张网充电圈，确保满足新能源电动汽车充换电服务需求。到2025 年，中心镇百灵庙建设充电站10个（含充电桩100 个），其它苏木乡镇建设充电站15个（含充电桩150 个），希拉穆仁、套马沟、诗画草原等重点景区建设充电站14个（含充电桩140 个）。逐步完善标准规范和市场监管体系，形成统一开放、竞争有序的充电服务市场，实现可持续发展的“互联网+充电基础设施”产业生态体系。</w:t>
      </w:r>
    </w:p>
    <w:p w14:paraId="37D25D2B">
      <w:pPr>
        <w:pStyle w:val="2"/>
        <w:ind w:firstLine="640"/>
        <w:rPr>
          <w:lang w:val="mn-Mong-CN"/>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8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5" w:hRule="atLeast"/>
        </w:trPr>
        <w:tc>
          <w:tcPr>
            <w:tcW w:w="8522" w:type="dxa"/>
          </w:tcPr>
          <w:p w14:paraId="4B3C2321">
            <w:pPr>
              <w:pStyle w:val="135"/>
              <w:spacing w:before="240"/>
              <w:ind w:firstLine="482"/>
              <w:jc w:val="center"/>
              <w:rPr>
                <w:b/>
                <w:color w:val="auto"/>
              </w:rPr>
            </w:pPr>
            <w:r>
              <w:rPr>
                <w:rFonts w:hint="eastAsia"/>
                <w:b/>
                <w:color w:val="auto"/>
              </w:rPr>
              <w:t>专栏20  信息化基础设施</w:t>
            </w:r>
          </w:p>
          <w:p w14:paraId="6C240A52">
            <w:pPr>
              <w:pStyle w:val="135"/>
              <w:rPr>
                <w:rFonts w:ascii="仿宋" w:hAnsi="仿宋" w:eastAsia="仿宋" w:cs="仿宋"/>
                <w:color w:val="auto"/>
                <w:sz w:val="32"/>
                <w:szCs w:val="32"/>
              </w:rPr>
            </w:pPr>
            <w:r>
              <w:rPr>
                <w:rFonts w:hint="eastAsia"/>
                <w:color w:val="auto"/>
              </w:rPr>
              <w:t>5G基站建设项目、清洁能源智能调控平台建设项目、新能源汽车充电桩建设项目、</w:t>
            </w:r>
            <w:r>
              <w:rPr>
                <w:rFonts w:hint="eastAsia"/>
                <w:color w:val="auto"/>
                <w:lang w:val="mn-Mong-CN"/>
              </w:rPr>
              <w:t>“互联网+”</w:t>
            </w:r>
            <w:r>
              <w:rPr>
                <w:rFonts w:hint="eastAsia"/>
                <w:color w:val="auto"/>
              </w:rPr>
              <w:t>项目。</w:t>
            </w:r>
          </w:p>
        </w:tc>
      </w:tr>
    </w:tbl>
    <w:p w14:paraId="6051AACA"/>
    <w:p w14:paraId="426A0A4D">
      <w:pPr>
        <w:pStyle w:val="4"/>
      </w:pPr>
      <w:bookmarkStart w:id="63" w:name="_Toc71878895"/>
      <w:r>
        <w:rPr>
          <w:rFonts w:hint="eastAsia"/>
        </w:rPr>
        <w:t>第四节 加强电力基础设施建设</w:t>
      </w:r>
      <w:bookmarkEnd w:id="63"/>
    </w:p>
    <w:p w14:paraId="5B16AE55">
      <w:pPr>
        <w:spacing w:line="640" w:lineRule="exact"/>
        <w:ind w:firstLine="640" w:firstLineChars="200"/>
        <w:rPr>
          <w:rFonts w:ascii="仿宋_GB2312" w:hAnsi="仿宋" w:eastAsia="仿宋_GB2312" w:cs="仿宋"/>
          <w:sz w:val="32"/>
          <w:szCs w:val="32"/>
          <w:lang w:val="mn-Mong-CN"/>
        </w:rPr>
      </w:pPr>
      <w:r>
        <w:rPr>
          <w:rFonts w:hint="eastAsia" w:ascii="仿宋_GB2312" w:hAnsi="仿宋" w:eastAsia="仿宋_GB2312" w:cs="仿宋"/>
          <w:sz w:val="32"/>
          <w:szCs w:val="32"/>
          <w:lang w:val="mn-Mong-CN"/>
        </w:rPr>
        <w:t>坚持节约、清洁、安全的战略方针，加快城乡电网建设改造步伐，</w:t>
      </w:r>
      <w:r>
        <w:rPr>
          <w:rFonts w:hint="eastAsia" w:ascii="仿宋_GB2312" w:hAnsi="等线" w:eastAsia="仿宋_GB2312"/>
          <w:bCs/>
          <w:kern w:val="2"/>
          <w:sz w:val="32"/>
        </w:rPr>
        <w:t>整合现有供电线路，优化线路结构和路由选线</w:t>
      </w:r>
      <w:r>
        <w:rPr>
          <w:rFonts w:hint="eastAsia" w:ascii="仿宋_GB2312" w:hAnsi="等线" w:eastAsia="仿宋_GB2312"/>
          <w:sz w:val="32"/>
        </w:rPr>
        <w:t>。</w:t>
      </w:r>
      <w:r>
        <w:rPr>
          <w:rFonts w:hint="eastAsia" w:ascii="仿宋_GB2312" w:hAnsi="仿宋" w:eastAsia="仿宋_GB2312" w:cs="仿宋"/>
          <w:sz w:val="32"/>
          <w:szCs w:val="32"/>
          <w:lang w:val="mn-Mong-CN"/>
        </w:rPr>
        <w:t>推进新能源可持续发展，提高清洁能源保障能力。发展分散式光伏电站，实施覆盖全旗的户用光伏项目，加快发展与农村牧区经济发展关系密切的可再生能源。“十四五”期间，新建220千伏变电站5座、110千伏变电站1座、35千伏变电站1座，</w:t>
      </w:r>
      <w:r>
        <w:rPr>
          <w:rFonts w:hint="eastAsia" w:ascii="仿宋_GB2312" w:hAnsi="等线" w:eastAsia="仿宋_GB2312"/>
          <w:sz w:val="32"/>
        </w:rPr>
        <w:t>形成</w:t>
      </w:r>
      <w:r>
        <w:rPr>
          <w:rFonts w:hint="eastAsia" w:ascii="仿宋_GB2312" w:hAnsi="等线" w:eastAsia="仿宋_GB2312"/>
          <w:kern w:val="2"/>
          <w:sz w:val="32"/>
        </w:rPr>
        <w:t>以500千伏、220千伏输变线路为骨干网架、110千伏辐射供电网和35千伏为主网架、10千伏为配网的多点支撑、</w:t>
      </w:r>
      <w:r>
        <w:rPr>
          <w:rFonts w:hint="eastAsia" w:ascii="等线" w:hAnsi="等线" w:eastAsia="仿宋_GB2312"/>
          <w:kern w:val="2"/>
          <w:sz w:val="32"/>
        </w:rPr>
        <w:t>结构完善、布局合理的电力网架，</w:t>
      </w:r>
      <w:r>
        <w:rPr>
          <w:rFonts w:hint="eastAsia" w:ascii="仿宋_GB2312" w:hAnsi="仿宋" w:eastAsia="仿宋_GB2312" w:cs="仿宋"/>
          <w:sz w:val="32"/>
          <w:szCs w:val="32"/>
          <w:lang w:val="mn-Mong-CN"/>
        </w:rPr>
        <w:t>提高配电网的供电质量和供电可靠性。</w:t>
      </w:r>
    </w:p>
    <w:p w14:paraId="7E2D6ADF">
      <w:pPr>
        <w:pStyle w:val="2"/>
        <w:ind w:firstLine="640"/>
        <w:rPr>
          <w:lang w:val="mn-Mong-CN"/>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ABA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522" w:type="dxa"/>
          </w:tcPr>
          <w:p w14:paraId="7D245966">
            <w:pPr>
              <w:pStyle w:val="135"/>
              <w:spacing w:before="240"/>
              <w:ind w:firstLine="482"/>
              <w:jc w:val="center"/>
              <w:rPr>
                <w:b/>
                <w:color w:val="auto"/>
              </w:rPr>
            </w:pPr>
            <w:r>
              <w:rPr>
                <w:rFonts w:hint="eastAsia"/>
                <w:b/>
                <w:color w:val="auto"/>
              </w:rPr>
              <w:t>专栏21  能源保障设施</w:t>
            </w:r>
          </w:p>
          <w:p w14:paraId="31EBA211">
            <w:pPr>
              <w:pStyle w:val="135"/>
              <w:rPr>
                <w:rFonts w:eastAsia="仿宋_GB2312"/>
                <w:color w:val="auto"/>
              </w:rPr>
            </w:pPr>
            <w:r>
              <w:rPr>
                <w:rFonts w:hint="eastAsia"/>
                <w:color w:val="auto"/>
                <w:lang w:val="mn-Mong-CN"/>
              </w:rPr>
              <w:t>变电站</w:t>
            </w:r>
            <w:r>
              <w:rPr>
                <w:rFonts w:hint="eastAsia"/>
                <w:color w:val="auto"/>
              </w:rPr>
              <w:t>及输电线路建设</w:t>
            </w:r>
            <w:r>
              <w:rPr>
                <w:rFonts w:hint="eastAsia"/>
                <w:color w:val="auto"/>
                <w:lang w:val="mn-Mong-CN"/>
              </w:rPr>
              <w:t>项目、全旗无电户电网改造项目、配电网储备项目、</w:t>
            </w:r>
            <w:r>
              <w:rPr>
                <w:rFonts w:hint="eastAsia" w:cs="仿宋" w:asciiTheme="majorEastAsia" w:hAnsiTheme="majorEastAsia" w:eastAsiaTheme="majorEastAsia"/>
                <w:color w:val="auto"/>
                <w:lang w:val="mn-Mong-CN"/>
              </w:rPr>
              <w:t>220千伏变电站5座、110千伏变电站1座、35千伏变电站1座</w:t>
            </w:r>
            <w:r>
              <w:rPr>
                <w:rFonts w:hint="eastAsia" w:asciiTheme="majorEastAsia" w:hAnsiTheme="majorEastAsia" w:eastAsiaTheme="majorEastAsia"/>
                <w:color w:val="auto"/>
              </w:rPr>
              <w:t>、工</w:t>
            </w:r>
            <w:r>
              <w:rPr>
                <w:rFonts w:hint="eastAsia"/>
                <w:color w:val="auto"/>
              </w:rPr>
              <w:t>业园区增量配电业务改革试点项目、清洁能源就地消纳一体化（清洁能源+充电桩+新能源汽车）项目等</w:t>
            </w:r>
            <w:r>
              <w:rPr>
                <w:rFonts w:hint="eastAsia"/>
                <w:color w:val="auto"/>
                <w:lang w:val="mn-Mong-CN"/>
              </w:rPr>
              <w:t>。</w:t>
            </w:r>
          </w:p>
        </w:tc>
      </w:tr>
    </w:tbl>
    <w:p w14:paraId="2BE2F1DB"/>
    <w:p w14:paraId="4A4F5DE1">
      <w:pPr>
        <w:pStyle w:val="3"/>
      </w:pPr>
      <w:bookmarkStart w:id="64" w:name="_Toc71878896"/>
      <w:r>
        <w:rPr>
          <w:rFonts w:hint="eastAsia"/>
        </w:rPr>
        <w:t>第十二章 绿色发展 建设我国北方重要生态安全屏障</w:t>
      </w:r>
      <w:bookmarkEnd w:id="64"/>
    </w:p>
    <w:p w14:paraId="3B032A21">
      <w:pPr>
        <w:spacing w:before="240" w:line="640" w:lineRule="exact"/>
        <w:ind w:firstLine="640" w:firstLineChars="200"/>
      </w:pPr>
      <w:r>
        <w:rPr>
          <w:rFonts w:hint="eastAsia" w:ascii="仿宋_GB2312" w:hAnsi="仿宋" w:eastAsia="仿宋_GB2312" w:cs="黑体"/>
          <w:bCs/>
          <w:sz w:val="32"/>
          <w:szCs w:val="32"/>
        </w:rPr>
        <w:t>坚持习近平生态文明思想，深入践行“绿水青山就是金山银山”理念，保持加强生态文明建设战略定力，厚植生态文明建设根基，</w:t>
      </w:r>
      <w:r>
        <w:rPr>
          <w:rFonts w:hint="eastAsia" w:ascii="仿宋_GB2312" w:hAnsi="仿宋" w:eastAsia="仿宋_GB2312" w:cs="仿宋_GB2312"/>
          <w:sz w:val="32"/>
          <w:szCs w:val="32"/>
        </w:rPr>
        <w:t>响应碳达峰、碳中和目标，</w:t>
      </w:r>
      <w:r>
        <w:rPr>
          <w:rFonts w:hint="eastAsia" w:ascii="仿宋_GB2312" w:hAnsi="仿宋" w:eastAsia="仿宋_GB2312" w:cs="黑体"/>
          <w:bCs/>
          <w:sz w:val="32"/>
          <w:szCs w:val="32"/>
        </w:rPr>
        <w:t>健全我旗生态文明制度体系，筑牢我国北方重要生态安全屏障，形成人与自然和谐发展新格局。</w:t>
      </w:r>
    </w:p>
    <w:p w14:paraId="2E428F12">
      <w:pPr>
        <w:pStyle w:val="4"/>
      </w:pPr>
      <w:bookmarkStart w:id="65" w:name="_Toc71878897"/>
      <w:r>
        <w:rPr>
          <w:rFonts w:hint="eastAsia"/>
        </w:rPr>
        <w:t>第一节 提升生态系统质量和稳定性</w:t>
      </w:r>
      <w:bookmarkEnd w:id="65"/>
    </w:p>
    <w:p w14:paraId="149272FE">
      <w:pPr>
        <w:widowControl w:val="0"/>
        <w:spacing w:line="64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坚持生态优先，统筹推进山水林田湖草系统治理，强化草原生态保护，适度发展林业，加强河流湖泊生态保护治理，实施生物多样性保护工程，科学推进荒漠化、水土流失综合治理，加强耕地保护，严守生态保护红线。</w:t>
      </w:r>
    </w:p>
    <w:p w14:paraId="4EA7066F">
      <w:pPr>
        <w:widowControl w:val="0"/>
        <w:spacing w:line="640" w:lineRule="exact"/>
        <w:ind w:firstLine="643" w:firstLineChars="200"/>
        <w:rPr>
          <w:rFonts w:ascii="仿宋_GB2312" w:hAnsi="仿宋" w:eastAsia="仿宋_GB2312" w:cs="仿宋"/>
          <w:sz w:val="32"/>
          <w:szCs w:val="32"/>
          <w:lang w:val="zh-CN"/>
        </w:rPr>
      </w:pPr>
      <w:r>
        <w:rPr>
          <w:rFonts w:hint="eastAsia" w:ascii="仿宋_GB2312" w:hAnsi="仿宋" w:eastAsia="仿宋_GB2312" w:cs="楷体"/>
          <w:b/>
          <w:kern w:val="2"/>
          <w:sz w:val="32"/>
          <w:szCs w:val="32"/>
          <w:lang w:val="zh-CN"/>
        </w:rPr>
        <w:t>加强草原生态保护与修复。</w:t>
      </w:r>
      <w:r>
        <w:rPr>
          <w:rFonts w:hint="eastAsia" w:ascii="仿宋_GB2312" w:hAnsi="仿宋" w:eastAsia="仿宋_GB2312" w:cs="仿宋"/>
          <w:sz w:val="32"/>
          <w:szCs w:val="32"/>
          <w:lang w:val="zh-CN"/>
        </w:rPr>
        <w:t>实施退化草原生态修复、废弃矿坑填埋恢复治理等工程，实现草原荒漠化、沙化、退化治理常态化。</w:t>
      </w:r>
      <w:r>
        <w:rPr>
          <w:rFonts w:hint="eastAsia" w:ascii="仿宋_GB2312" w:hAnsi="仿宋" w:eastAsia="仿宋_GB2312" w:cs="仿宋_GB2312"/>
          <w:sz w:val="32"/>
          <w:szCs w:val="32"/>
        </w:rPr>
        <w:t>加大草原生态修复力度，严格执行基本草原保护、禁牧休牧和草畜平衡制度。统筹草原生产与生态功能，合理利用草原资源。继续实施京津风沙源治理、退耕还林还草、退化草场修复、沙漠化、荒漠化草原治理、重点区域绿化等重点生态建设工程，开展飞播种草、草地改良、补播等促进草原生态修复，让绿色成为发展的底色。</w:t>
      </w:r>
      <w:r>
        <w:rPr>
          <w:rFonts w:hint="eastAsia" w:ascii="仿宋_GB2312" w:hAnsi="仿宋" w:eastAsia="仿宋_GB2312" w:cs="仿宋"/>
          <w:sz w:val="32"/>
          <w:szCs w:val="32"/>
          <w:lang w:val="zh-CN"/>
        </w:rPr>
        <w:t>落实草原生态保护补助奖励政策，建立和完善草原生态补偿长效机制和稳步增长机制。健全巴音杭盖自然保护区长效管护机制，完善草原灾害应急预案和灾害应急响应机制，健全各级灾害监测预警体系，加强专业化生物灾害防治和防扑火队伍建设。坚持管罚并重，加大草原执法力度，严厉打击盗挖盗采等破坏行为，严格草原征占用审核审批管理，完善草原生态监测评估机制。建设“数字草原”信息平台管理系统，实现草原管理数字化。到2025年，全旗草原“三化”趋势得到明显遏制，草原生物多样性保持稳定，草原生态保护修复长效机制基本形成，草原生态环境明显好转，</w:t>
      </w:r>
      <w:r>
        <w:rPr>
          <w:rFonts w:hint="eastAsia" w:ascii="仿宋_GB2312" w:hAnsi="仿宋" w:eastAsia="仿宋_GB2312" w:cs="仿宋"/>
          <w:kern w:val="2"/>
          <w:sz w:val="32"/>
          <w:szCs w:val="32"/>
        </w:rPr>
        <w:t>草原植被盖度达到32%以上</w:t>
      </w:r>
      <w:r>
        <w:rPr>
          <w:rFonts w:hint="eastAsia" w:ascii="仿宋_GB2312" w:hAnsi="仿宋" w:eastAsia="仿宋_GB2312" w:cs="仿宋"/>
          <w:sz w:val="32"/>
          <w:szCs w:val="32"/>
          <w:lang w:val="zh-CN"/>
        </w:rPr>
        <w:t>。</w:t>
      </w:r>
    </w:p>
    <w:p w14:paraId="15875F10">
      <w:pPr>
        <w:widowControl w:val="0"/>
        <w:spacing w:line="640" w:lineRule="exact"/>
        <w:ind w:firstLine="643" w:firstLineChars="200"/>
        <w:rPr>
          <w:rFonts w:ascii="仿宋_GB2312" w:hAnsi="仿宋" w:eastAsia="仿宋_GB2312" w:cs="仿宋"/>
          <w:sz w:val="32"/>
          <w:szCs w:val="32"/>
          <w:lang w:val="zh-CN"/>
        </w:rPr>
      </w:pPr>
      <w:r>
        <w:rPr>
          <w:rFonts w:hint="eastAsia" w:ascii="仿宋_GB2312" w:hAnsi="Times New Roman" w:eastAsia="仿宋_GB2312"/>
          <w:b/>
          <w:sz w:val="32"/>
          <w:szCs w:val="32"/>
        </w:rPr>
        <w:t>加强林业生态系统保护和建设。</w:t>
      </w:r>
      <w:r>
        <w:rPr>
          <w:rFonts w:hint="eastAsia" w:ascii="仿宋_GB2312" w:hAnsi="Times New Roman" w:eastAsia="仿宋_GB2312"/>
          <w:bCs/>
          <w:sz w:val="32"/>
          <w:szCs w:val="32"/>
        </w:rPr>
        <w:t>实行林长制，实施森林保护和修复行动，统筹实施人工造林、</w:t>
      </w:r>
      <w:r>
        <w:rPr>
          <w:rFonts w:hint="eastAsia" w:ascii="仿宋_GB2312" w:hAnsi="Times New Roman" w:eastAsia="仿宋_GB2312"/>
          <w:sz w:val="32"/>
          <w:szCs w:val="32"/>
        </w:rPr>
        <w:t>封山育林、</w:t>
      </w:r>
      <w:r>
        <w:rPr>
          <w:rFonts w:hint="eastAsia" w:ascii="仿宋_GB2312" w:hAnsi="Times New Roman" w:eastAsia="仿宋_GB2312"/>
          <w:bCs/>
          <w:sz w:val="32"/>
          <w:szCs w:val="32"/>
        </w:rPr>
        <w:t>天然林保护、退耕还林等国家重点林业生态治理工程，开展退化林修复、</w:t>
      </w:r>
      <w:r>
        <w:rPr>
          <w:rFonts w:hint="eastAsia" w:ascii="仿宋_GB2312" w:hAnsi="Times New Roman" w:eastAsia="仿宋_GB2312"/>
          <w:sz w:val="32"/>
          <w:szCs w:val="32"/>
        </w:rPr>
        <w:t>灌木林平茬</w:t>
      </w:r>
      <w:r>
        <w:rPr>
          <w:rFonts w:hint="eastAsia" w:ascii="仿宋_GB2312" w:hAnsi="Times New Roman" w:eastAsia="仿宋_GB2312"/>
          <w:bCs/>
          <w:sz w:val="32"/>
          <w:szCs w:val="32"/>
        </w:rPr>
        <w:t>和森林抚育，开展沿路、重点区域林业绿化工程，</w:t>
      </w:r>
      <w:r>
        <w:rPr>
          <w:rFonts w:hint="eastAsia" w:ascii="仿宋_GB2312" w:hAnsi="Times New Roman" w:eastAsia="仿宋_GB2312"/>
          <w:sz w:val="32"/>
          <w:szCs w:val="32"/>
        </w:rPr>
        <w:t>提高森林生态系统生产力和质量。</w:t>
      </w:r>
      <w:r>
        <w:rPr>
          <w:rFonts w:hint="eastAsia" w:ascii="仿宋_GB2312" w:hAnsi="仿宋" w:eastAsia="仿宋_GB2312" w:cs="仿宋"/>
          <w:sz w:val="32"/>
          <w:szCs w:val="32"/>
          <w:lang w:val="zh-CN"/>
        </w:rPr>
        <w:t>坚持宜草则草、宜林则林的原则，普及符合本地种植条件、成活率高的树种，</w:t>
      </w:r>
      <w:r>
        <w:rPr>
          <w:rFonts w:hint="eastAsia" w:ascii="仿宋_GB2312" w:hAnsi="Times New Roman" w:eastAsia="仿宋_GB2312"/>
          <w:sz w:val="32"/>
          <w:szCs w:val="32"/>
        </w:rPr>
        <w:t>有效增加林地面积，提高森林覆盖率。实施森林质量精准提升工程，采取退化林地修复、灌木林平茬等措施，提高森林生态系统生产力和质量。</w:t>
      </w:r>
      <w:r>
        <w:rPr>
          <w:rFonts w:hint="eastAsia" w:ascii="仿宋_GB2312" w:hAnsi="Times New Roman" w:eastAsia="仿宋_GB2312"/>
          <w:color w:val="000000"/>
          <w:kern w:val="2"/>
          <w:sz w:val="32"/>
          <w:szCs w:val="32"/>
        </w:rPr>
        <w:t>“十四五”期</w:t>
      </w:r>
      <w:r>
        <w:rPr>
          <w:rFonts w:ascii="Times New Roman" w:hAnsi="Times New Roman" w:eastAsia="仿宋_GB2312"/>
          <w:color w:val="000000"/>
          <w:kern w:val="2"/>
          <w:sz w:val="32"/>
          <w:szCs w:val="32"/>
        </w:rPr>
        <w:t>间新增森林面积5万亩。</w:t>
      </w:r>
      <w:r>
        <w:rPr>
          <w:rFonts w:hint="eastAsia" w:ascii="仿宋_GB2312" w:hAnsi="仿宋" w:eastAsia="仿宋_GB2312" w:cs="仿宋"/>
          <w:sz w:val="32"/>
          <w:szCs w:val="32"/>
        </w:rPr>
        <w:t>2025年</w:t>
      </w:r>
      <w:r>
        <w:rPr>
          <w:rFonts w:hint="eastAsia" w:ascii="仿宋_GB2312" w:hAnsi="仿宋" w:eastAsia="仿宋_GB2312" w:cs="仿宋"/>
          <w:sz w:val="32"/>
          <w:szCs w:val="32"/>
          <w:lang w:val="zh-CN"/>
        </w:rPr>
        <w:t>，全旗森林覆盖率达到15%以上。</w:t>
      </w:r>
    </w:p>
    <w:p w14:paraId="6CA5F9A4">
      <w:pPr>
        <w:widowControl w:val="0"/>
        <w:spacing w:line="640" w:lineRule="exact"/>
        <w:ind w:firstLine="643" w:firstLineChars="200"/>
        <w:rPr>
          <w:rFonts w:ascii="仿宋_GB2312" w:hAnsi="仿宋" w:eastAsia="仿宋_GB2312" w:cs="仿宋"/>
          <w:sz w:val="32"/>
          <w:szCs w:val="32"/>
          <w:lang w:val="zh-CN"/>
        </w:rPr>
      </w:pPr>
      <w:r>
        <w:rPr>
          <w:rFonts w:hint="eastAsia" w:ascii="仿宋_GB2312" w:hAnsi="Times New Roman" w:eastAsia="仿宋_GB2312"/>
          <w:b/>
          <w:bCs/>
          <w:sz w:val="32"/>
          <w:szCs w:val="32"/>
        </w:rPr>
        <w:t>加强基本农田保护。</w:t>
      </w:r>
      <w:r>
        <w:rPr>
          <w:rFonts w:hint="eastAsia" w:ascii="仿宋_GB2312" w:hAnsi="Times New Roman" w:eastAsia="仿宋_GB2312"/>
          <w:bCs/>
          <w:sz w:val="32"/>
          <w:szCs w:val="32"/>
        </w:rPr>
        <w:t>守住</w:t>
      </w:r>
      <w:r>
        <w:rPr>
          <w:rFonts w:hint="eastAsia" w:ascii="仿宋_GB2312" w:hAnsi="Times New Roman" w:eastAsia="仿宋_GB2312"/>
          <w:sz w:val="32"/>
          <w:szCs w:val="32"/>
        </w:rPr>
        <w:t>耕地保护红线，巩固永久基本农田划定成果，严厉打击非法占用基本农田用于其他建设活动的行为，确保基本农田用于正常农业生产。实施高标准农田建设，逐步减少农业化肥和地膜使用量，通过使用农家肥、灌排配套、改碱排盐、秸秆还田、土壤调理剂等多种措施，有效提高耕地特别是永久基本农田综合生产能力。健全耕地休耕轮作制度。开展农田整治整理工程，对全旗拆迁的村庄进行复垦复绿，增加基本农田保有量指标。</w:t>
      </w:r>
    </w:p>
    <w:p w14:paraId="62CB4E13">
      <w:pPr>
        <w:pStyle w:val="4"/>
      </w:pPr>
      <w:bookmarkStart w:id="66" w:name="_Toc71878898"/>
      <w:r>
        <w:rPr>
          <w:rFonts w:hint="eastAsia"/>
        </w:rPr>
        <w:t>第二节 持续改善环境质量</w:t>
      </w:r>
      <w:bookmarkEnd w:id="66"/>
    </w:p>
    <w:p w14:paraId="792704B2">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zh-CN"/>
        </w:rPr>
        <w:t>深入打好污染防治攻坚战，继续开展污染防治行动，</w:t>
      </w:r>
      <w:r>
        <w:rPr>
          <w:rFonts w:hint="eastAsia" w:ascii="仿宋_GB2312" w:hAnsi="仿宋" w:eastAsia="仿宋_GB2312" w:cs="仿宋"/>
          <w:sz w:val="32"/>
          <w:szCs w:val="32"/>
        </w:rPr>
        <w:t>坚持协同治理、综合治理、系统治理、源头治理，构建生态环境分区管控体系，</w:t>
      </w:r>
      <w:r>
        <w:rPr>
          <w:rFonts w:hint="eastAsia" w:ascii="仿宋_GB2312" w:hAnsi="仿宋" w:eastAsia="仿宋_GB2312" w:cs="仿宋"/>
          <w:sz w:val="32"/>
          <w:szCs w:val="32"/>
          <w:lang w:val="zh-CN"/>
        </w:rPr>
        <w:t>重视新污染物治理，</w:t>
      </w:r>
      <w:r>
        <w:rPr>
          <w:rFonts w:hint="eastAsia" w:ascii="仿宋_GB2312" w:hAnsi="仿宋" w:eastAsia="仿宋_GB2312" w:cs="仿宋"/>
          <w:sz w:val="32"/>
          <w:szCs w:val="32"/>
        </w:rPr>
        <w:t>切实提高大气、水、土壤环境质量，严守</w:t>
      </w:r>
      <w:r>
        <w:rPr>
          <w:rFonts w:hint="eastAsia" w:ascii="仿宋_GB2312" w:hAnsi="仿宋" w:eastAsia="仿宋_GB2312" w:cs="仿宋"/>
          <w:sz w:val="32"/>
          <w:szCs w:val="32"/>
          <w:lang w:val="zh-CN"/>
        </w:rPr>
        <w:t>环境质量底线</w:t>
      </w:r>
      <w:r>
        <w:rPr>
          <w:rFonts w:hint="eastAsia" w:ascii="仿宋_GB2312" w:hAnsi="仿宋" w:eastAsia="仿宋_GB2312" w:cs="仿宋"/>
          <w:sz w:val="32"/>
          <w:szCs w:val="32"/>
        </w:rPr>
        <w:t>。</w:t>
      </w:r>
    </w:p>
    <w:p w14:paraId="7948C67F">
      <w:pPr>
        <w:spacing w:line="640" w:lineRule="exact"/>
        <w:ind w:firstLine="641"/>
        <w:rPr>
          <w:rFonts w:ascii="等线" w:hAnsi="等线" w:eastAsia="仿宋_GB2312"/>
          <w:kern w:val="2"/>
          <w:sz w:val="32"/>
        </w:rPr>
      </w:pPr>
      <w:r>
        <w:rPr>
          <w:rFonts w:hint="eastAsia" w:ascii="仿宋_GB2312" w:hAnsi="仿宋" w:eastAsia="仿宋_GB2312" w:cs="楷体"/>
          <w:b/>
          <w:kern w:val="2"/>
          <w:sz w:val="32"/>
          <w:szCs w:val="32"/>
        </w:rPr>
        <w:t>深入打好蓝天保卫战。</w:t>
      </w:r>
      <w:r>
        <w:rPr>
          <w:rFonts w:hint="eastAsia" w:ascii="仿宋_GB2312" w:hAnsi="仿宋" w:eastAsia="仿宋_GB2312" w:cs="仿宋"/>
          <w:sz w:val="32"/>
          <w:szCs w:val="32"/>
        </w:rPr>
        <w:t>强化多污染物排放控制，专项治理高耗能和“散乱污”企业，</w:t>
      </w:r>
      <w:r>
        <w:rPr>
          <w:rFonts w:hint="eastAsia" w:ascii="仿宋_GB2312" w:hAnsi="仿宋" w:eastAsia="仿宋_GB2312" w:cs="仿宋"/>
          <w:sz w:val="32"/>
          <w:szCs w:val="32"/>
          <w:lang w:val="zh-CN"/>
        </w:rPr>
        <w:t>推进重点工业污染源烟气在线监控全覆盖。</w:t>
      </w:r>
      <w:r>
        <w:rPr>
          <w:rFonts w:ascii="Times New Roman" w:hAnsi="Times New Roman" w:eastAsia="仿宋_GB2312"/>
          <w:kern w:val="2"/>
          <w:sz w:val="32"/>
          <w:szCs w:val="32"/>
        </w:rPr>
        <w:t>持续推进大气主要污染物总量减排，深化工业、机动车、扬尘</w:t>
      </w:r>
      <w:r>
        <w:rPr>
          <w:rFonts w:hint="eastAsia" w:ascii="Times New Roman" w:hAnsi="Times New Roman" w:eastAsia="仿宋_GB2312"/>
          <w:kern w:val="2"/>
          <w:sz w:val="32"/>
          <w:szCs w:val="32"/>
        </w:rPr>
        <w:t>、</w:t>
      </w:r>
      <w:r>
        <w:rPr>
          <w:rFonts w:hint="eastAsia" w:ascii="仿宋_GB2312" w:hAnsi="仿宋" w:eastAsia="仿宋_GB2312" w:cs="仿宋"/>
          <w:sz w:val="32"/>
          <w:szCs w:val="32"/>
          <w:lang w:val="zh-CN"/>
        </w:rPr>
        <w:t>散煤燃烧、秸秆燃烧</w:t>
      </w:r>
      <w:r>
        <w:rPr>
          <w:rFonts w:ascii="Times New Roman" w:hAnsi="Times New Roman" w:eastAsia="仿宋_GB2312"/>
          <w:kern w:val="2"/>
          <w:sz w:val="32"/>
          <w:szCs w:val="32"/>
        </w:rPr>
        <w:t>等大气环境综合治理。</w:t>
      </w:r>
      <w:r>
        <w:rPr>
          <w:rFonts w:hint="eastAsia" w:ascii="仿宋_GB2312" w:hAnsi="仿宋" w:eastAsia="仿宋_GB2312" w:cs="仿宋"/>
          <w:sz w:val="32"/>
          <w:szCs w:val="32"/>
        </w:rPr>
        <w:t>大力推行清洁化改造，</w:t>
      </w:r>
      <w:r>
        <w:rPr>
          <w:rFonts w:hint="eastAsia" w:ascii="等线" w:hAnsi="等线" w:eastAsia="仿宋_GB2312"/>
          <w:kern w:val="2"/>
          <w:sz w:val="32"/>
        </w:rPr>
        <w:t>实施居民清洁取暖改造工程，推进各苏木乡镇散煤燃烧治理和燃煤锅炉清洁化改造工作，</w:t>
      </w:r>
      <w:r>
        <w:rPr>
          <w:rFonts w:hint="eastAsia" w:ascii="仿宋_GB2312" w:hAnsi="仿宋" w:eastAsia="仿宋_GB2312" w:cs="仿宋"/>
          <w:sz w:val="32"/>
          <w:szCs w:val="32"/>
        </w:rPr>
        <w:t>淘汰10蒸吨及以下燃煤锅炉。深化污染物减排工作，开展碳达峰、碳中和行动，严控污染物排放总量红线，全面推进达标排放。强化区域协同治理，与周边地区联防联控。</w:t>
      </w:r>
      <w:r>
        <w:rPr>
          <w:rFonts w:hint="eastAsia" w:ascii="仿宋_GB2312" w:hAnsi="仿宋" w:eastAsia="仿宋_GB2312" w:cs="仿宋"/>
          <w:sz w:val="32"/>
          <w:szCs w:val="32"/>
          <w:lang w:val="zh-CN"/>
        </w:rPr>
        <w:t>确保空气质量优良天数比例达9</w:t>
      </w:r>
      <w:r>
        <w:rPr>
          <w:rFonts w:hint="eastAsia" w:ascii="仿宋_GB2312" w:hAnsi="仿宋" w:eastAsia="仿宋_GB2312" w:cs="仿宋"/>
          <w:sz w:val="32"/>
          <w:szCs w:val="32"/>
        </w:rPr>
        <w:t>6</w:t>
      </w:r>
      <w:r>
        <w:rPr>
          <w:rFonts w:hint="eastAsia" w:ascii="仿宋_GB2312" w:hAnsi="仿宋" w:eastAsia="仿宋_GB2312" w:cs="仿宋"/>
          <w:sz w:val="32"/>
          <w:szCs w:val="32"/>
          <w:lang w:val="zh-CN"/>
        </w:rPr>
        <w:t>%以上、PM2.5排放达标。</w:t>
      </w:r>
    </w:p>
    <w:p w14:paraId="32AFA462">
      <w:pPr>
        <w:spacing w:line="640" w:lineRule="exact"/>
        <w:ind w:firstLine="641"/>
        <w:rPr>
          <w:rFonts w:ascii="等线" w:hAnsi="等线" w:eastAsia="仿宋_GB2312"/>
          <w:kern w:val="2"/>
          <w:sz w:val="32"/>
        </w:rPr>
      </w:pPr>
      <w:r>
        <w:rPr>
          <w:rFonts w:hint="eastAsia" w:ascii="仿宋_GB2312" w:hAnsi="仿宋" w:eastAsia="仿宋_GB2312" w:cs="楷体"/>
          <w:b/>
          <w:kern w:val="2"/>
          <w:sz w:val="32"/>
          <w:szCs w:val="32"/>
        </w:rPr>
        <w:t>深入打好碧水保卫战。</w:t>
      </w:r>
      <w:r>
        <w:rPr>
          <w:rFonts w:hint="eastAsia" w:ascii="仿宋_GB2312" w:hAnsi="仿宋" w:eastAsia="仿宋_GB2312" w:cs="仿宋"/>
          <w:sz w:val="32"/>
          <w:szCs w:val="32"/>
        </w:rPr>
        <w:t>治理城乡生活环境，推进城镇污水管网全覆盖，实施农村生活污水处理项目，园区、重点镇全面建设污水处理厂，</w:t>
      </w:r>
      <w:r>
        <w:rPr>
          <w:rFonts w:hint="eastAsia" w:ascii="仿宋_GB2312" w:hAnsi="仿宋" w:eastAsia="仿宋_GB2312" w:cs="仿宋"/>
          <w:sz w:val="32"/>
          <w:szCs w:val="32"/>
          <w:lang w:val="zh-CN"/>
        </w:rPr>
        <w:t>推进废水处理资源化利用建设项目，</w:t>
      </w:r>
      <w:r>
        <w:rPr>
          <w:rFonts w:hint="eastAsia" w:ascii="仿宋_GB2312" w:hAnsi="仿宋" w:eastAsia="仿宋_GB2312" w:cs="仿宋"/>
          <w:sz w:val="32"/>
          <w:szCs w:val="32"/>
        </w:rPr>
        <w:t>有效利用再生水。强化河流、湖泊</w:t>
      </w:r>
      <w:r>
        <w:rPr>
          <w:rFonts w:hint="eastAsia" w:ascii="仿宋_GB2312" w:hAnsi="仿宋" w:eastAsia="仿宋_GB2312" w:cs="仿宋"/>
          <w:sz w:val="32"/>
          <w:szCs w:val="32"/>
          <w:lang w:val="zh-CN"/>
        </w:rPr>
        <w:t>水生态综合治理，保障水生态安全</w:t>
      </w:r>
      <w:r>
        <w:rPr>
          <w:rFonts w:hint="eastAsia" w:ascii="仿宋_GB2312" w:hAnsi="仿宋" w:eastAsia="仿宋_GB2312" w:cs="仿宋"/>
          <w:sz w:val="32"/>
          <w:szCs w:val="32"/>
        </w:rPr>
        <w:t>。</w:t>
      </w:r>
      <w:r>
        <w:rPr>
          <w:rFonts w:hint="eastAsia" w:ascii="仿宋_GB2312" w:hAnsi="仿宋" w:eastAsia="仿宋_GB2312" w:cs="仿宋"/>
          <w:sz w:val="32"/>
          <w:szCs w:val="32"/>
          <w:lang w:val="zh-CN"/>
        </w:rPr>
        <w:t>加强饮用水水源保护和修复，强化百灵庙等饮用水水源地保护日常监管，保障全旗城乡安全饮水全覆盖。</w:t>
      </w:r>
    </w:p>
    <w:p w14:paraId="69BCB421">
      <w:pPr>
        <w:pStyle w:val="23"/>
        <w:spacing w:line="640" w:lineRule="exact"/>
        <w:ind w:firstLine="643"/>
        <w:rPr>
          <w:rFonts w:ascii="仿宋_GB2312" w:hAnsi="仿宋" w:eastAsia="仿宋_GB2312" w:cs="仿宋"/>
          <w:lang w:val="zh-CN"/>
        </w:rPr>
      </w:pPr>
      <w:r>
        <w:rPr>
          <w:rFonts w:hint="eastAsia" w:ascii="仿宋_GB2312" w:hAnsi="仿宋" w:eastAsia="仿宋_GB2312" w:cs="楷体"/>
          <w:b/>
          <w:kern w:val="2"/>
          <w:lang w:val="zh-CN"/>
        </w:rPr>
        <w:t>深入打好净土保卫战。</w:t>
      </w:r>
      <w:r>
        <w:rPr>
          <w:rFonts w:hint="eastAsia" w:ascii="仿宋_GB2312" w:hAnsi="仿宋" w:eastAsia="仿宋_GB2312" w:cs="仿宋"/>
          <w:lang w:val="zh-CN"/>
        </w:rPr>
        <w:t>推进化肥农药减量化行动，加大农业面源污染防治。加强农膜、生活塑料等白色污染治理。强化固体废物污染防治，推进废矿渣、城市建筑垃圾等土壤污染治理。加强危险废物医疗废物收集处理，加强重点地区危险化学品生产企业管理，强化危险化学品风险防控，深化重金属污染防治。开展土壤风险评估，推动土壤污染状况详查，开展土壤污染治理修复、重点区域工矿企业重金属污染耕地风险排查整治专项行动。</w:t>
      </w:r>
    </w:p>
    <w:p w14:paraId="73FC194D">
      <w:pPr>
        <w:pStyle w:val="23"/>
        <w:spacing w:line="640" w:lineRule="exact"/>
        <w:ind w:firstLine="643"/>
        <w:rPr>
          <w:rFonts w:ascii="仿宋_GB2312" w:hAnsi="仿宋" w:eastAsia="仿宋_GB2312" w:cs="仿宋"/>
          <w:lang w:val="zh-CN"/>
        </w:rPr>
      </w:pPr>
      <w:r>
        <w:rPr>
          <w:rFonts w:hint="eastAsia" w:ascii="仿宋_GB2312" w:hAnsi="仿宋" w:eastAsia="仿宋_GB2312" w:cs="楷体"/>
          <w:b/>
          <w:kern w:val="2"/>
        </w:rPr>
        <w:t>推进绿色矿山建设。</w:t>
      </w:r>
      <w:r>
        <w:rPr>
          <w:rFonts w:hint="eastAsia" w:ascii="仿宋_GB2312" w:hAnsi="仿宋" w:eastAsia="仿宋_GB2312" w:cs="仿宋"/>
          <w:lang w:val="zh-CN"/>
        </w:rPr>
        <w:t>加强矿山、排土场、裸露山体、废弃采坑绿化治理，巩固矿山生态修复治理成果，将所有应修、能修、可修的矿山生态进行全面修复治理。</w:t>
      </w:r>
      <w:r>
        <w:rPr>
          <w:rFonts w:hint="eastAsia" w:ascii="仿宋_GB2312" w:hAnsi="仿宋" w:eastAsia="仿宋_GB2312" w:cs="仿宋"/>
        </w:rPr>
        <w:t>采用保水开采、疏干水循环利用等方式，降低疏干水直排量。</w:t>
      </w:r>
      <w:r>
        <w:rPr>
          <w:rFonts w:hint="eastAsia" w:ascii="仿宋_GB2312" w:hAnsi="仿宋" w:eastAsia="仿宋_GB2312" w:cs="仿宋"/>
          <w:lang w:val="zh-CN"/>
        </w:rPr>
        <w:t>以生态修复产业化思路，</w:t>
      </w:r>
      <w:r>
        <w:rPr>
          <w:rFonts w:hint="eastAsia" w:ascii="仿宋_GB2312" w:hAnsi="仿宋" w:eastAsia="仿宋_GB2312" w:cs="仿宋"/>
        </w:rPr>
        <w:t>实施矿区土地复绿和土地修复，</w:t>
      </w:r>
      <w:r>
        <w:rPr>
          <w:rFonts w:hint="eastAsia" w:ascii="仿宋_GB2312" w:hAnsi="仿宋" w:eastAsia="仿宋_GB2312" w:cs="仿宋"/>
          <w:lang w:val="zh-CN"/>
        </w:rPr>
        <w:t>引导矿山企业在治理区域规划建设园林式景观，配套发展旅游业，建设“园林式、旅游式”矿山，全部达到国家绿色矿山标准，</w:t>
      </w:r>
      <w:r>
        <w:rPr>
          <w:rFonts w:hint="eastAsia" w:ascii="仿宋_GB2312" w:hAnsi="仿宋" w:eastAsia="仿宋_GB2312" w:cs="仿宋"/>
        </w:rPr>
        <w:t>实现生态环保开采</w:t>
      </w:r>
      <w:r>
        <w:rPr>
          <w:rFonts w:hint="eastAsia" w:ascii="仿宋_GB2312" w:hAnsi="仿宋" w:eastAsia="仿宋_GB2312" w:cs="仿宋"/>
          <w:lang w:val="zh-CN"/>
        </w:rPr>
        <w:t>。打造绿色矿山新样板。</w:t>
      </w:r>
    </w:p>
    <w:p w14:paraId="10F9142E">
      <w:pPr>
        <w:pStyle w:val="23"/>
        <w:spacing w:line="640" w:lineRule="exact"/>
        <w:ind w:firstLine="643"/>
        <w:rPr>
          <w:rFonts w:ascii="仿宋_GB2312" w:hAnsi="仿宋" w:eastAsia="仿宋_GB2312" w:cs="仿宋"/>
          <w:lang w:val="zh-CN"/>
        </w:rPr>
      </w:pPr>
      <w:r>
        <w:rPr>
          <w:rFonts w:hint="eastAsia" w:ascii="仿宋_GB2312" w:hAnsi="仿宋" w:eastAsia="仿宋_GB2312" w:cs="仿宋"/>
          <w:b/>
          <w:bCs/>
          <w:lang w:val="zh-CN"/>
        </w:rPr>
        <w:t>提升环境治理能力。</w:t>
      </w:r>
      <w:r>
        <w:rPr>
          <w:rFonts w:hint="eastAsia" w:ascii="仿宋_GB2312" w:hAnsi="仿宋" w:eastAsia="仿宋_GB2312" w:cs="仿宋"/>
          <w:lang w:val="zh-CN"/>
        </w:rPr>
        <w:t>建立苏木乡镇、园区的生态环境保护机构，压实生态环境保护责任。严格生态环境执法，坚决查处违法行为，推动守法成为常态。全面实行排污许可制度，推进排污权、用能权、碳排放权等市场化交易。</w:t>
      </w:r>
    </w:p>
    <w:p w14:paraId="3E57B089">
      <w:pPr>
        <w:pStyle w:val="4"/>
      </w:pPr>
      <w:bookmarkStart w:id="67" w:name="_Toc71878899"/>
      <w:r>
        <w:rPr>
          <w:rFonts w:hint="eastAsia"/>
        </w:rPr>
        <w:t>第三节 提高资源利用效率</w:t>
      </w:r>
      <w:bookmarkEnd w:id="67"/>
    </w:p>
    <w:p w14:paraId="5D772EBF">
      <w:pPr>
        <w:spacing w:line="64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bCs/>
          <w:sz w:val="32"/>
          <w:szCs w:val="32"/>
        </w:rPr>
        <w:t>强化节约集约利用资源，</w:t>
      </w:r>
      <w:r>
        <w:rPr>
          <w:rFonts w:hint="eastAsia" w:ascii="仿宋_GB2312" w:hAnsi="仿宋" w:eastAsia="仿宋_GB2312" w:cs="仿宋"/>
          <w:sz w:val="32"/>
          <w:szCs w:val="32"/>
        </w:rPr>
        <w:t>推动资源利用方式根本转变，实现生产生活方式绿色转型。加强自然资源调查评价监测和确权登记，完善市场化、多元化生态补偿，推进资源总量管理、科学配置、全面节约、循环利用，</w:t>
      </w:r>
      <w:r>
        <w:rPr>
          <w:rFonts w:hint="eastAsia" w:ascii="仿宋_GB2312" w:hAnsi="仿宋" w:eastAsia="仿宋_GB2312" w:cs="仿宋"/>
          <w:sz w:val="32"/>
          <w:szCs w:val="32"/>
          <w:lang w:val="zh-CN"/>
        </w:rPr>
        <w:t>严守资源利用上线。</w:t>
      </w:r>
    </w:p>
    <w:p w14:paraId="22D9A00B">
      <w:pPr>
        <w:pStyle w:val="2"/>
        <w:spacing w:after="0" w:line="640" w:lineRule="exact"/>
        <w:rPr>
          <w:rFonts w:ascii="仿宋_GB2312" w:hAnsi="仿宋_GB2312" w:eastAsia="仿宋_GB2312" w:cs="仿宋_GB2312"/>
        </w:rPr>
      </w:pPr>
      <w:r>
        <w:rPr>
          <w:rFonts w:hint="eastAsia" w:ascii="仿宋_GB2312" w:hAnsi="仿宋_GB2312" w:eastAsia="仿宋_GB2312" w:cs="仿宋_GB2312"/>
          <w:b/>
          <w:bCs/>
        </w:rPr>
        <w:t>高效利用能源资源。</w:t>
      </w:r>
      <w:r>
        <w:rPr>
          <w:rFonts w:hint="eastAsia" w:ascii="仿宋_GB2312" w:hAnsi="仿宋_GB2312" w:eastAsia="仿宋_GB2312" w:cs="仿宋_GB2312"/>
        </w:rPr>
        <w:t>加强用能预算管理，实施能效提升计划，健全节能标准。提高高耗能行业准入门槛，挖掘节能潜力，推动工业、交通、建筑等能源替代，实施重点用能领域节能技改，大幅降低能耗。充分发挥风光资源优势，积极发展清洁能源，加快建设可再生能源综合应用示范区。</w:t>
      </w:r>
    </w:p>
    <w:p w14:paraId="4A395303">
      <w:pPr>
        <w:pStyle w:val="2"/>
        <w:spacing w:after="0" w:line="640" w:lineRule="exact"/>
        <w:rPr>
          <w:rFonts w:ascii="仿宋_GB2312" w:hAnsi="仿宋" w:eastAsia="仿宋_GB2312" w:cs="仿宋"/>
          <w:szCs w:val="32"/>
        </w:rPr>
      </w:pPr>
      <w:r>
        <w:rPr>
          <w:rFonts w:hint="eastAsia" w:ascii="仿宋_GB2312" w:hAnsi="仿宋" w:eastAsia="仿宋_GB2312" w:cs="楷体"/>
          <w:b/>
          <w:kern w:val="2"/>
          <w:szCs w:val="32"/>
        </w:rPr>
        <w:t>高效利用土地资源。</w:t>
      </w:r>
      <w:r>
        <w:rPr>
          <w:rFonts w:hint="eastAsia" w:ascii="仿宋_GB2312" w:hAnsi="仿宋" w:eastAsia="仿宋_GB2312" w:cs="仿宋"/>
          <w:bCs/>
          <w:szCs w:val="32"/>
        </w:rPr>
        <w:t>强化土地利用规划管控和用途管制，严守耕地红线，严格保护耕地特别是基本农田，开展农村牧区土地整理，健全耕地保护补偿制度。建立低效用地退出和闲置土地盘活机制，提高土地利用门槛和投入产出率，规范工业用地管理，</w:t>
      </w:r>
      <w:r>
        <w:rPr>
          <w:rFonts w:hint="eastAsia" w:ascii="仿宋_GB2312" w:hAnsi="仿宋" w:eastAsia="仿宋_GB2312" w:cs="仿宋"/>
          <w:szCs w:val="32"/>
        </w:rPr>
        <w:t>实施土</w:t>
      </w:r>
      <w:r>
        <w:rPr>
          <w:rFonts w:hint="eastAsia" w:ascii="仿宋_GB2312" w:hAnsi="仿宋" w:eastAsia="仿宋_GB2312" w:cs="仿宋"/>
          <w:bCs/>
          <w:szCs w:val="32"/>
        </w:rPr>
        <w:t>地增减挂钩，落实耕地占补平衡政策，清理违规用地和闲置用地</w:t>
      </w:r>
      <w:r>
        <w:rPr>
          <w:rFonts w:hint="eastAsia" w:ascii="仿宋_GB2312" w:hAnsi="仿宋" w:eastAsia="仿宋_GB2312" w:cs="仿宋"/>
          <w:szCs w:val="32"/>
        </w:rPr>
        <w:t>，提高土地资源综合利用效率</w:t>
      </w:r>
      <w:r>
        <w:rPr>
          <w:rFonts w:hint="eastAsia" w:ascii="仿宋_GB2312" w:hAnsi="仿宋" w:eastAsia="仿宋_GB2312" w:cs="仿宋"/>
          <w:bCs/>
          <w:szCs w:val="32"/>
        </w:rPr>
        <w:t>。</w:t>
      </w:r>
    </w:p>
    <w:p w14:paraId="020AE259">
      <w:pPr>
        <w:spacing w:line="640" w:lineRule="exact"/>
        <w:ind w:firstLine="643" w:firstLineChars="200"/>
        <w:rPr>
          <w:rFonts w:ascii="仿宋_GB2312" w:hAnsi="仿宋" w:eastAsia="仿宋_GB2312" w:cs="仿宋"/>
          <w:sz w:val="32"/>
          <w:szCs w:val="32"/>
        </w:rPr>
      </w:pPr>
      <w:r>
        <w:rPr>
          <w:rFonts w:hint="eastAsia" w:ascii="仿宋_GB2312" w:hAnsi="仿宋" w:eastAsia="仿宋_GB2312" w:cs="楷体"/>
          <w:b/>
          <w:kern w:val="2"/>
          <w:sz w:val="32"/>
          <w:szCs w:val="32"/>
        </w:rPr>
        <w:t>绿色适度开采矿产资源。</w:t>
      </w:r>
      <w:r>
        <w:rPr>
          <w:rFonts w:hint="eastAsia" w:ascii="仿宋_GB2312" w:hAnsi="仿宋" w:eastAsia="仿宋_GB2312" w:cs="仿宋"/>
          <w:sz w:val="32"/>
          <w:szCs w:val="32"/>
        </w:rPr>
        <w:t>加强矿业权管理，规范矿业开发秩序，严格执行矿产资源规划、主体功能区规划、负面清单和行业准入等政策，加快矿业结构调整。守住开矿环保“红线”，推动矿山绿色化生产，严控尾矿污染。鼓励矿山企业开展“三废”综合利用、科技攻关和技术改造。认真落实矿山企业主体责任和相关部门的监管责任，提高矿产资源开发保护水平。</w:t>
      </w:r>
    </w:p>
    <w:p w14:paraId="4D4D8DF9">
      <w:pPr>
        <w:pStyle w:val="2"/>
        <w:spacing w:after="0" w:line="640" w:lineRule="exact"/>
        <w:rPr>
          <w:rFonts w:ascii="仿宋_GB2312" w:hAnsi="仿宋_GB2312" w:eastAsia="仿宋_GB2312" w:cs="仿宋_GB2312"/>
          <w:color w:val="FF0000"/>
        </w:rPr>
      </w:pPr>
      <w:r>
        <w:rPr>
          <w:rFonts w:hint="eastAsia" w:ascii="仿宋_GB2312" w:hAnsi="仿宋_GB2312" w:eastAsia="仿宋_GB2312" w:cs="仿宋_GB2312"/>
          <w:b/>
          <w:bCs/>
          <w:szCs w:val="32"/>
        </w:rPr>
        <w:t>大力发展循环经济。</w:t>
      </w:r>
      <w:r>
        <w:rPr>
          <w:rFonts w:hint="eastAsia" w:ascii="仿宋_GB2312" w:hAnsi="仿宋_GB2312" w:eastAsia="仿宋_GB2312" w:cs="仿宋_GB2312"/>
          <w:szCs w:val="32"/>
        </w:rPr>
        <w:t>加强园区循环化改造，推动资源化利用、产业发展和集聚区建设，提高尾矿、废渣等固体废弃物利用水平。加快构建废弃物循环利用体系，加强生活垃圾分类回收和再生资源回收的衔接，推进生产系统和生活系统有效链接。</w:t>
      </w:r>
    </w:p>
    <w:p w14:paraId="443821C1">
      <w:pPr>
        <w:pStyle w:val="4"/>
      </w:pPr>
      <w:bookmarkStart w:id="68" w:name="_Toc65765016"/>
      <w:bookmarkStart w:id="69" w:name="_Toc71878900"/>
      <w:bookmarkStart w:id="70" w:name="_Toc18495"/>
      <w:r>
        <w:rPr>
          <w:rFonts w:hint="eastAsia"/>
        </w:rPr>
        <w:t>第四节 努力实现能耗双控和碳达峰、碳中和目标</w:t>
      </w:r>
      <w:bookmarkEnd w:id="68"/>
      <w:bookmarkEnd w:id="69"/>
    </w:p>
    <w:p w14:paraId="518792E4">
      <w:pPr>
        <w:spacing w:line="64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建立“管发展必须管节能、管生产必须管节能、管行业必须管节能”的工作责任体系，有效落实节能优先方针，把能耗双控贯穿于经济社会发展全过程和各领域。</w:t>
      </w:r>
      <w:r>
        <w:rPr>
          <w:rFonts w:hint="eastAsia" w:ascii="仿宋_GB2312" w:hAnsi="仿宋" w:eastAsia="仿宋_GB2312" w:cs="仿宋"/>
          <w:sz w:val="32"/>
          <w:szCs w:val="32"/>
        </w:rPr>
        <w:t>坚持将</w:t>
      </w:r>
      <w:r>
        <w:rPr>
          <w:rFonts w:ascii="仿宋_GB2312" w:hAnsi="仿宋" w:eastAsia="仿宋_GB2312" w:cs="仿宋"/>
          <w:sz w:val="32"/>
          <w:szCs w:val="32"/>
        </w:rPr>
        <w:t>能耗双控、能源产出率作为布局产业、谋划项目、招商引资的硬约束，正确处理经济发展与能耗双控的关系，坚决摆脱路径依赖。</w:t>
      </w:r>
    </w:p>
    <w:p w14:paraId="4975E8D3">
      <w:pPr>
        <w:spacing w:line="640" w:lineRule="exact"/>
        <w:ind w:firstLine="643" w:firstLineChars="200"/>
        <w:rPr>
          <w:rFonts w:ascii="仿宋_GB2312" w:hAnsi="仿宋" w:eastAsia="仿宋_GB2312" w:cs="仿宋"/>
          <w:sz w:val="32"/>
          <w:szCs w:val="32"/>
        </w:rPr>
      </w:pPr>
      <w:r>
        <w:rPr>
          <w:rFonts w:ascii="仿宋_GB2312" w:hAnsi="仿宋" w:eastAsia="仿宋_GB2312" w:cs="仿宋"/>
          <w:b/>
          <w:bCs/>
          <w:sz w:val="32"/>
          <w:szCs w:val="32"/>
        </w:rPr>
        <w:t>引导</w:t>
      </w:r>
      <w:r>
        <w:rPr>
          <w:rFonts w:hint="eastAsia" w:ascii="仿宋_GB2312" w:hAnsi="仿宋" w:eastAsia="仿宋_GB2312" w:cs="仿宋"/>
          <w:b/>
          <w:bCs/>
          <w:sz w:val="32"/>
          <w:szCs w:val="32"/>
        </w:rPr>
        <w:t>能耗要素合理流动。</w:t>
      </w:r>
      <w:r>
        <w:rPr>
          <w:rFonts w:hint="eastAsia" w:ascii="仿宋_GB2312" w:hAnsi="仿宋" w:eastAsia="仿宋_GB2312" w:cs="仿宋"/>
          <w:sz w:val="32"/>
          <w:szCs w:val="32"/>
        </w:rPr>
        <w:t>实施绿色电价政策，落实节能量交易制度。强化能耗双控监测预警和会商机制，加强重点用能</w:t>
      </w:r>
      <w:r>
        <w:rPr>
          <w:rFonts w:ascii="仿宋_GB2312" w:hAnsi="仿宋" w:eastAsia="仿宋_GB2312" w:cs="仿宋"/>
          <w:sz w:val="32"/>
          <w:szCs w:val="32"/>
        </w:rPr>
        <w:t>单位能耗</w:t>
      </w:r>
      <w:r>
        <w:rPr>
          <w:rFonts w:hint="eastAsia" w:ascii="仿宋_GB2312" w:hAnsi="仿宋" w:eastAsia="仿宋_GB2312" w:cs="仿宋"/>
          <w:sz w:val="32"/>
          <w:szCs w:val="32"/>
        </w:rPr>
        <w:t>在线监测系统建设和应用。提高可再生能源消纳比重，因地制宜发展分布式太阳能和分散性风电，坚持和完善风电、太阳能发电消纳机制。坚决遏制高耗能产业盲目发展和低水平重复建设，从严控制存量高耗能企业新增用能。严控高耗能产业，提高项目引进准入门槛，严格节能审查，加大节能监察力度，制定完善能耗双控应急预案。推动重点领域、重点行业和重点用能企业能效改造提升。</w:t>
      </w:r>
    </w:p>
    <w:p w14:paraId="09B8C1B8">
      <w:pPr>
        <w:spacing w:line="64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健全节能降耗长效管理体制机制。</w:t>
      </w:r>
      <w:r>
        <w:rPr>
          <w:rFonts w:hint="eastAsia" w:ascii="仿宋_GB2312" w:hAnsi="仿宋" w:eastAsia="仿宋_GB2312" w:cs="仿宋"/>
          <w:sz w:val="32"/>
          <w:szCs w:val="32"/>
        </w:rPr>
        <w:t>加强节能审查与能耗双控工作的有效联动，实行用能预算管理，将坚决控制能耗与服务经济发展相结合，在注重民生用能等基本需要上，更加突出新兴产业用能保障，有压有保推动能耗高效配置合理使用，做好重点用能单位管理。“十四五”期间，年均新增用能控制在5万吨标准以内。</w:t>
      </w:r>
    </w:p>
    <w:p w14:paraId="5A2E4BA1">
      <w:pPr>
        <w:spacing w:line="640" w:lineRule="exact"/>
        <w:ind w:firstLine="643" w:firstLineChars="200"/>
        <w:jc w:val="both"/>
        <w:rPr>
          <w:rFonts w:ascii="仿宋_GB2312" w:hAnsi="仿宋" w:eastAsia="仿宋_GB2312" w:cs="仿宋"/>
          <w:sz w:val="32"/>
          <w:szCs w:val="32"/>
        </w:rPr>
      </w:pPr>
      <w:r>
        <w:rPr>
          <w:rFonts w:hint="eastAsia" w:ascii="仿宋_GB2312" w:eastAsia="仿宋_GB2312"/>
          <w:b/>
          <w:bCs/>
          <w:sz w:val="32"/>
          <w:szCs w:val="32"/>
        </w:rPr>
        <w:t>深入推进低碳发展。</w:t>
      </w:r>
      <w:r>
        <w:rPr>
          <w:rFonts w:hint="eastAsia" w:ascii="仿宋_GB2312" w:eastAsia="仿宋_GB2312"/>
          <w:sz w:val="32"/>
          <w:szCs w:val="32"/>
        </w:rPr>
        <w:t>制定碳达峰、碳中和行动方案，降低单位生产总值，二氧化碳排放强度，调整优化能源产业结构和消费结构，推动煤炭消费尽早达峰，力争在全市率先达到碳排放峰值，建设全市引领低碳发展先行区，创建国家生态文明示范区。加大重点行业绿色化改造力度，大力发展新能源，全面推进绿色产业、绿色企业、绿色园区发展。推广绿色建筑、建设绿色矿山、提高绿色准入门槛，倒逼企业绿色低碳发展。</w:t>
      </w:r>
      <w:r>
        <w:rPr>
          <w:rFonts w:hint="eastAsia" w:ascii="仿宋_GB2312" w:hAnsi="仿宋" w:eastAsia="仿宋_GB2312" w:cs="仿宋"/>
          <w:sz w:val="32"/>
          <w:szCs w:val="32"/>
        </w:rPr>
        <w:t>围绕“十四五”产业发展和产业结构调整，到2023年碳排放增速为5%，2025年碳排放增速为3%，2027年碳排放增速为1%，到2030年碳排放达到峰值，以后逐年下降。</w:t>
      </w:r>
    </w:p>
    <w:p w14:paraId="5A35B0FC">
      <w:pPr>
        <w:pStyle w:val="23"/>
        <w:widowControl w:val="0"/>
        <w:spacing w:line="640" w:lineRule="exact"/>
        <w:ind w:firstLine="643"/>
        <w:jc w:val="both"/>
        <w:rPr>
          <w:rFonts w:ascii="仿宋_GB2312" w:hAnsi="Times New Roman" w:eastAsia="仿宋_GB2312"/>
          <w:color w:val="000000"/>
        </w:rPr>
      </w:pPr>
      <w:r>
        <w:rPr>
          <w:rFonts w:ascii="Times New Roman" w:hAnsi="Times New Roman" w:eastAsia="仿宋_GB2312"/>
          <w:b/>
          <w:bCs/>
          <w:color w:val="000000"/>
          <w:kern w:val="2"/>
        </w:rPr>
        <w:t>建设低碳发展先行示范区。</w:t>
      </w:r>
      <w:r>
        <w:rPr>
          <w:rFonts w:hint="eastAsia" w:ascii="仿宋_GB2312" w:hAnsi="Times New Roman" w:eastAsia="仿宋_GB2312"/>
          <w:color w:val="000000"/>
          <w:kern w:val="2"/>
        </w:rPr>
        <w:t>坚持“产业生态化、生态产业化”，全面推进绿色产业、绿色企业发展，力争在全市率先达到碳排放峰值，建设低碳旗县。</w:t>
      </w:r>
      <w:r>
        <w:rPr>
          <w:rFonts w:hint="eastAsia" w:ascii="仿宋_GB2312" w:hAnsi="Times New Roman" w:eastAsia="仿宋_GB2312"/>
          <w:bCs/>
          <w:color w:val="000000"/>
          <w:kern w:val="2"/>
        </w:rPr>
        <w:t>加快价值转化。</w:t>
      </w:r>
      <w:r>
        <w:rPr>
          <w:rFonts w:hint="eastAsia" w:ascii="仿宋_GB2312" w:hAnsi="Times New Roman" w:eastAsia="仿宋_GB2312"/>
          <w:bCs/>
          <w:color w:val="000000"/>
        </w:rPr>
        <w:t>深入践行“绿水青山就是金山银山”理念，依托清洁空气、适宜气候、广阔草原等生态优势，探索推进生态产品可持续经营开发，打造“达茂蓝”“草原绿”等生态产品品牌，切实增加生态收益。加快绿色发展。</w:t>
      </w:r>
      <w:r>
        <w:rPr>
          <w:rFonts w:hint="eastAsia" w:ascii="仿宋_GB2312" w:hAnsi="Times New Roman" w:eastAsia="仿宋_GB2312"/>
          <w:color w:val="000000"/>
        </w:rPr>
        <w:t>聚焦碳达峰碳中和愿景，紧盯节能减排，严控“两高”项目，有序推进宝鑫特钢、冀东水泥等重点用能企业超低排放改造，减少碳排放10万吨，</w:t>
      </w:r>
      <w:r>
        <w:rPr>
          <w:rFonts w:hint="eastAsia" w:ascii="仿宋_GB2312" w:hAnsi="Times New Roman" w:eastAsia="仿宋_GB2312"/>
          <w:color w:val="000000"/>
          <w:kern w:val="2"/>
        </w:rPr>
        <w:t>为新上项目腾挪空间。发展绿色循环经济，围绕尾矿开发、固废利用等，构建循环经济产业链，全面</w:t>
      </w:r>
      <w:r>
        <w:rPr>
          <w:rFonts w:hint="eastAsia" w:ascii="仿宋_GB2312" w:hAnsi="Times New Roman" w:eastAsia="仿宋_GB2312"/>
          <w:color w:val="000000"/>
        </w:rPr>
        <w:t>推广绿色建筑、建设绿色矿山，提高绿色准入门槛，加快形成绿色低碳的生产生活方式。</w:t>
      </w:r>
      <w:r>
        <w:rPr>
          <w:rFonts w:hint="eastAsia" w:ascii="仿宋_GB2312" w:hAnsi="Times New Roman" w:eastAsia="仿宋_GB2312"/>
          <w:bCs/>
          <w:color w:val="000000"/>
        </w:rPr>
        <w:t>突出抓好碳汇经济。</w:t>
      </w:r>
      <w:r>
        <w:rPr>
          <w:rFonts w:hint="eastAsia" w:ascii="仿宋_GB2312" w:hAnsi="Times New Roman" w:eastAsia="仿宋_GB2312"/>
          <w:color w:val="000000"/>
        </w:rPr>
        <w:t>创新白彦花煤田资源利用，探索发展煤基生物天然气、生物有机肥产业，打造生态环保产业链。制定林业草原碳汇行动方案，</w:t>
      </w:r>
      <w:r>
        <w:rPr>
          <w:rFonts w:hint="eastAsia" w:ascii="仿宋_GB2312" w:hAnsi="Times New Roman" w:eastAsia="仿宋_GB2312"/>
          <w:color w:val="000000"/>
          <w:kern w:val="2"/>
        </w:rPr>
        <w:t>打造查干哈达苏木、巴音敖包苏木、巴音花镇、达尔汗苏木4个草原碳汇发展片区和腾格淖尔—艾不盖河湿地碳汇片区，</w:t>
      </w:r>
      <w:r>
        <w:rPr>
          <w:rFonts w:hint="eastAsia" w:ascii="仿宋_GB2312" w:hAnsi="Times New Roman" w:eastAsia="仿宋_GB2312"/>
          <w:color w:val="000000"/>
        </w:rPr>
        <w:t>开发林业、草原碳普惠项目，</w:t>
      </w:r>
      <w:r>
        <w:rPr>
          <w:rFonts w:hint="eastAsia" w:ascii="仿宋_GB2312" w:hAnsi="Times New Roman" w:eastAsia="仿宋_GB2312"/>
          <w:color w:val="000000"/>
          <w:kern w:val="2"/>
        </w:rPr>
        <w:t>2025年林草固碳量达到400万吨</w:t>
      </w:r>
      <w:r>
        <w:rPr>
          <w:rFonts w:hint="eastAsia" w:ascii="仿宋_GB2312" w:hAnsi="Times New Roman" w:eastAsia="仿宋_GB2312"/>
          <w:color w:val="000000"/>
        </w:rPr>
        <w:t>。</w:t>
      </w:r>
    </w:p>
    <w:p w14:paraId="6ECA6C57">
      <w:pPr>
        <w:pStyle w:val="4"/>
      </w:pPr>
      <w:bookmarkStart w:id="71" w:name="_Toc71878901"/>
      <w:r>
        <w:rPr>
          <w:rFonts w:hint="eastAsia"/>
        </w:rPr>
        <w:t xml:space="preserve">第五节 </w:t>
      </w:r>
      <w:bookmarkEnd w:id="70"/>
      <w:r>
        <w:rPr>
          <w:rFonts w:hint="eastAsia"/>
        </w:rPr>
        <w:t>落实生态文明制度</w:t>
      </w:r>
      <w:bookmarkEnd w:id="71"/>
    </w:p>
    <w:p w14:paraId="5F2721BF">
      <w:pPr>
        <w:spacing w:line="640" w:lineRule="exact"/>
        <w:ind w:firstLine="640" w:firstLineChars="200"/>
        <w:jc w:val="both"/>
        <w:rPr>
          <w:rFonts w:ascii="仿宋_GB2312" w:eastAsia="仿宋_GB2312"/>
          <w:sz w:val="32"/>
          <w:szCs w:val="32"/>
        </w:rPr>
      </w:pPr>
      <w:r>
        <w:rPr>
          <w:rFonts w:hint="eastAsia" w:ascii="仿宋_GB2312" w:eastAsia="仿宋_GB2312"/>
          <w:sz w:val="32"/>
          <w:szCs w:val="32"/>
        </w:rPr>
        <w:t>提高全民生态文明意识，全面落实生态文明制度，严格环境监管，构建生态风险防控体系，倡导绿色生产生活方式，促进人与自然和谐共生。</w:t>
      </w:r>
    </w:p>
    <w:p w14:paraId="074F4F71">
      <w:pPr>
        <w:spacing w:line="640" w:lineRule="exact"/>
        <w:ind w:firstLine="643" w:firstLineChars="200"/>
        <w:jc w:val="both"/>
        <w:rPr>
          <w:rFonts w:ascii="仿宋_GB2312" w:eastAsia="仿宋_GB2312"/>
          <w:sz w:val="32"/>
          <w:szCs w:val="32"/>
        </w:rPr>
      </w:pPr>
      <w:bookmarkStart w:id="72" w:name="_Toc64711772"/>
      <w:r>
        <w:rPr>
          <w:rFonts w:hint="eastAsia" w:ascii="仿宋_GB2312" w:eastAsia="仿宋_GB2312"/>
          <w:b/>
          <w:bCs/>
          <w:sz w:val="32"/>
          <w:szCs w:val="32"/>
        </w:rPr>
        <w:t>加强生态文化建设</w:t>
      </w:r>
      <w:bookmarkEnd w:id="72"/>
      <w:r>
        <w:rPr>
          <w:rFonts w:hint="eastAsia" w:ascii="仿宋_GB2312" w:eastAsia="仿宋_GB2312"/>
          <w:b/>
          <w:bCs/>
          <w:sz w:val="32"/>
          <w:szCs w:val="32"/>
        </w:rPr>
        <w:t>。</w:t>
      </w:r>
      <w:r>
        <w:rPr>
          <w:rFonts w:hint="eastAsia" w:ascii="仿宋_GB2312" w:eastAsia="仿宋_GB2312"/>
          <w:sz w:val="32"/>
          <w:szCs w:val="32"/>
        </w:rPr>
        <w:t>普及生态文明法律法规，宣传生态科学知识，加大生态保护和节约推广力度，增强全民生态意识、节约意识、环保意识。健全生态环境领域举报、听证、公示、专家咨询及基层民意调查等制度，扩大政府环境信息公开范围，保障公众环境权益。通过典型示范、展示展览、岗位创建等形式，开展形式多样的绿色生态主题宣传活动。</w:t>
      </w:r>
    </w:p>
    <w:p w14:paraId="3BC7294D">
      <w:pPr>
        <w:spacing w:line="640" w:lineRule="exact"/>
        <w:ind w:firstLine="643" w:firstLineChars="200"/>
        <w:jc w:val="both"/>
        <w:rPr>
          <w:rFonts w:ascii="仿宋_GB2312" w:eastAsia="仿宋_GB2312"/>
          <w:sz w:val="32"/>
          <w:szCs w:val="32"/>
        </w:rPr>
      </w:pPr>
      <w:bookmarkStart w:id="73" w:name="_Toc64711773"/>
      <w:r>
        <w:rPr>
          <w:rFonts w:hint="eastAsia" w:ascii="仿宋_GB2312" w:eastAsia="仿宋_GB2312"/>
          <w:b/>
          <w:bCs/>
          <w:sz w:val="32"/>
          <w:szCs w:val="32"/>
        </w:rPr>
        <w:t>转变绿色生产生活方式</w:t>
      </w:r>
      <w:bookmarkEnd w:id="73"/>
      <w:r>
        <w:rPr>
          <w:rFonts w:hint="eastAsia" w:ascii="仿宋_GB2312" w:eastAsia="仿宋_GB2312"/>
          <w:b/>
          <w:bCs/>
          <w:sz w:val="32"/>
          <w:szCs w:val="32"/>
        </w:rPr>
        <w:t>。</w:t>
      </w:r>
      <w:r>
        <w:rPr>
          <w:rFonts w:hint="eastAsia" w:ascii="仿宋_GB2312" w:eastAsia="仿宋_GB2312"/>
          <w:sz w:val="32"/>
          <w:szCs w:val="32"/>
        </w:rPr>
        <w:t>开展绿色生活创建活动，倡导简约适度、绿色低碳的生活方式，鼓励绿色出行。开展绿色消费行动，倡导节约消费、理性消费，持续推动餐饮行业反对浪费和“光盘行动”。广泛开展节约型机关、绿色学校、绿色社区、绿色村庄、环保家庭等群众性创建活动。开展垃圾分类处理全民行动，城镇生活垃圾分类投放和无害化处理率达到国家要求。</w:t>
      </w:r>
    </w:p>
    <w:p w14:paraId="3B448A3B">
      <w:pPr>
        <w:spacing w:line="640" w:lineRule="exact"/>
        <w:ind w:firstLine="643" w:firstLineChars="200"/>
        <w:jc w:val="both"/>
        <w:rPr>
          <w:rFonts w:ascii="仿宋_GB2312" w:eastAsia="仿宋_GB2312"/>
          <w:sz w:val="32"/>
          <w:szCs w:val="32"/>
        </w:rPr>
      </w:pPr>
      <w:bookmarkStart w:id="74" w:name="_Toc64711774"/>
      <w:r>
        <w:rPr>
          <w:rFonts w:hint="eastAsia" w:ascii="仿宋_GB2312" w:eastAsia="仿宋_GB2312"/>
          <w:b/>
          <w:bCs/>
          <w:sz w:val="32"/>
          <w:szCs w:val="32"/>
        </w:rPr>
        <w:t>严格生态环境监管</w:t>
      </w:r>
      <w:bookmarkEnd w:id="74"/>
      <w:r>
        <w:rPr>
          <w:rFonts w:hint="eastAsia" w:ascii="仿宋_GB2312" w:eastAsia="仿宋_GB2312"/>
          <w:b/>
          <w:bCs/>
          <w:sz w:val="32"/>
          <w:szCs w:val="32"/>
        </w:rPr>
        <w:t>。</w:t>
      </w:r>
      <w:r>
        <w:rPr>
          <w:rFonts w:hint="eastAsia" w:ascii="仿宋_GB2312" w:eastAsia="仿宋_GB2312"/>
          <w:sz w:val="32"/>
          <w:szCs w:val="32"/>
        </w:rPr>
        <w:t>建立健全生态环境保护管理体制，形成激励与约束并举的制度体系，政府、企业、公众共治的治理体系。加强环境监管制度的落实，完善重大项目和重大决策环境影响评价机制，实行严格的节能评估审查、环评审批和水资源论证制度。建立环境保护管理制度，推行环境污染第三方监测评价机制，落实治污属地责任。强化对浪费能源资源、破坏生态环境等行为的执法监察和综合惩治力度，健全环境行政执法与司法的衔接联运机制，完善环保公益诉讼制度，严格实行生态环境损害赔偿制度。开展生态系统保护成效监测评估，建立智慧环境监测、监管体系。</w:t>
      </w:r>
    </w:p>
    <w:p w14:paraId="1CC33BFD">
      <w:pPr>
        <w:spacing w:line="640" w:lineRule="exact"/>
        <w:rPr>
          <w:rFonts w:ascii="楷体" w:hAnsi="楷体" w:eastAsia="楷体" w:cs="楷体"/>
          <w:sz w:val="32"/>
          <w:szCs w:val="32"/>
          <w:lang w:val="zh-CN"/>
        </w:rPr>
      </w:pPr>
    </w:p>
    <w:p w14:paraId="0E2AE11B">
      <w:pPr>
        <w:pStyle w:val="2"/>
        <w:ind w:firstLine="640"/>
        <w:rPr>
          <w:lang w:val="zh-CN"/>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42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3" w:hRule="atLeast"/>
        </w:trPr>
        <w:tc>
          <w:tcPr>
            <w:tcW w:w="8522" w:type="dxa"/>
          </w:tcPr>
          <w:p w14:paraId="76D25FF7">
            <w:pPr>
              <w:pStyle w:val="135"/>
              <w:spacing w:before="240"/>
              <w:ind w:firstLine="482"/>
              <w:jc w:val="center"/>
              <w:rPr>
                <w:b/>
                <w:color w:val="auto"/>
              </w:rPr>
            </w:pPr>
            <w:r>
              <w:rPr>
                <w:rFonts w:hint="eastAsia"/>
                <w:b/>
                <w:color w:val="auto"/>
              </w:rPr>
              <w:t>专栏22 生态环境保护工程</w:t>
            </w:r>
          </w:p>
          <w:p w14:paraId="3D4B3046">
            <w:pPr>
              <w:pStyle w:val="135"/>
              <w:rPr>
                <w:color w:val="auto"/>
              </w:rPr>
            </w:pPr>
            <w:bookmarkStart w:id="75" w:name="_Hlk56021185"/>
            <w:r>
              <w:rPr>
                <w:rFonts w:hint="eastAsia"/>
                <w:color w:val="auto"/>
              </w:rPr>
              <w:t>退化草原生态修复工程</w:t>
            </w:r>
            <w:bookmarkEnd w:id="75"/>
            <w:r>
              <w:rPr>
                <w:rFonts w:hint="eastAsia"/>
                <w:color w:val="auto"/>
              </w:rPr>
              <w:t>：采取补播改良、飞播种草、人工增雨等多种模式，重点对中北部中度以上退化草原和矿坑、沙坑等严重破损草地进行修复。</w:t>
            </w:r>
            <w:bookmarkStart w:id="76" w:name="_Hlk56021225"/>
            <w:r>
              <w:rPr>
                <w:rFonts w:hint="eastAsia"/>
                <w:color w:val="auto"/>
              </w:rPr>
              <w:t>到2025年完成退化草原生态修复60万亩，建成不同类型退化草原生态修复示范区。</w:t>
            </w:r>
            <w:bookmarkEnd w:id="76"/>
          </w:p>
          <w:p w14:paraId="567EA203">
            <w:pPr>
              <w:pStyle w:val="135"/>
              <w:rPr>
                <w:color w:val="auto"/>
              </w:rPr>
            </w:pPr>
            <w:bookmarkStart w:id="77" w:name="_Hlk56021252"/>
            <w:r>
              <w:rPr>
                <w:rFonts w:hint="eastAsia"/>
                <w:color w:val="auto"/>
              </w:rPr>
              <w:t>退耕还林还草工程</w:t>
            </w:r>
            <w:bookmarkEnd w:id="77"/>
            <w:r>
              <w:rPr>
                <w:rFonts w:hint="eastAsia"/>
                <w:color w:val="auto"/>
              </w:rPr>
              <w:t>：积极争取国家退耕还林还草工程建设任务，因地制宜选择牧草品种，</w:t>
            </w:r>
            <w:bookmarkStart w:id="78" w:name="_Hlk56021278"/>
            <w:r>
              <w:rPr>
                <w:rFonts w:hint="eastAsia"/>
                <w:color w:val="auto"/>
              </w:rPr>
              <w:t>旱作耕地退耕还林还草</w:t>
            </w:r>
            <w:bookmarkEnd w:id="78"/>
            <w:r>
              <w:rPr>
                <w:rFonts w:hint="eastAsia"/>
                <w:color w:val="auto"/>
              </w:rPr>
              <w:t>40万亩。</w:t>
            </w:r>
          </w:p>
          <w:p w14:paraId="778684BC">
            <w:pPr>
              <w:pStyle w:val="135"/>
              <w:rPr>
                <w:color w:val="auto"/>
              </w:rPr>
            </w:pPr>
            <w:bookmarkStart w:id="79" w:name="_Hlk56021303"/>
            <w:r>
              <w:rPr>
                <w:rFonts w:hint="eastAsia"/>
                <w:color w:val="auto"/>
              </w:rPr>
              <w:t>京津风沙源治理工程</w:t>
            </w:r>
            <w:bookmarkEnd w:id="79"/>
            <w:r>
              <w:rPr>
                <w:rFonts w:hint="eastAsia"/>
                <w:color w:val="auto"/>
              </w:rPr>
              <w:t>：积极争取京津风沙源治理工程，到2025年完成建设任务100万亩，提升草原生态效益。</w:t>
            </w:r>
          </w:p>
        </w:tc>
      </w:tr>
    </w:tbl>
    <w:p w14:paraId="4889A10D"/>
    <w:p w14:paraId="792DA80F">
      <w:pPr>
        <w:pStyle w:val="3"/>
      </w:pPr>
      <w:bookmarkStart w:id="80" w:name="_Toc71878902"/>
      <w:r>
        <w:rPr>
          <w:rFonts w:hint="eastAsia"/>
        </w:rPr>
        <w:t>第十三章 深化改革 增强高质量发展新动力</w:t>
      </w:r>
      <w:bookmarkEnd w:id="80"/>
    </w:p>
    <w:p w14:paraId="7D817F17">
      <w:pPr>
        <w:autoSpaceDE w:val="0"/>
        <w:autoSpaceDN w:val="0"/>
        <w:spacing w:line="640"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坚持和完善社会主义基本经济制度，充分发挥市场在资源配置中的决定性作用，更好发挥政府作用，推动有效市场和有为政府更好结合。</w:t>
      </w:r>
    </w:p>
    <w:p w14:paraId="24E63D13">
      <w:pPr>
        <w:pStyle w:val="4"/>
        <w:rPr>
          <w:lang w:val="mn-Mong-CN"/>
        </w:rPr>
      </w:pPr>
      <w:bookmarkStart w:id="81" w:name="_Toc64711839"/>
      <w:bookmarkStart w:id="82" w:name="_Toc71878903"/>
      <w:r>
        <w:rPr>
          <w:rFonts w:hint="eastAsia"/>
          <w:lang w:val="mn-Mong-CN"/>
        </w:rPr>
        <w:t>第一节 坚持两个毫不动摇</w:t>
      </w:r>
      <w:bookmarkEnd w:id="81"/>
      <w:bookmarkEnd w:id="82"/>
    </w:p>
    <w:p w14:paraId="7DEDC9E5">
      <w:pPr>
        <w:widowControl w:val="0"/>
        <w:adjustRightInd/>
        <w:snapToGrid/>
        <w:spacing w:line="640" w:lineRule="exact"/>
        <w:ind w:firstLine="640" w:firstLineChars="200"/>
        <w:jc w:val="both"/>
        <w:textAlignment w:val="baseline"/>
        <w:rPr>
          <w:rFonts w:ascii="仿宋_GB2312" w:hAnsi="微软雅黑" w:eastAsia="仿宋_GB2312" w:cs="仿宋_GB2312"/>
          <w:sz w:val="32"/>
          <w:szCs w:val="32"/>
        </w:rPr>
      </w:pPr>
      <w:r>
        <w:rPr>
          <w:rFonts w:hint="eastAsia" w:ascii="仿宋_GB2312" w:hAnsi="微软雅黑" w:eastAsia="仿宋_GB2312" w:cs="仿宋_GB2312"/>
          <w:sz w:val="32"/>
          <w:szCs w:val="32"/>
        </w:rPr>
        <w:t>毫不动摇巩固和发展公有制经济，毫不动摇鼓励、支持、引导非公有制经济发展。积极发展混合所有制经济，完善国有资产管理体制，深化国有企业改革。</w:t>
      </w:r>
      <w:r>
        <w:rPr>
          <w:rFonts w:hint="eastAsia" w:ascii="仿宋_GB2312" w:hAnsi="Times New Roman" w:eastAsia="仿宋_GB2312"/>
          <w:sz w:val="32"/>
          <w:szCs w:val="32"/>
        </w:rPr>
        <w:t>加快国有经济布局和结构调整，积极稳妥推进国有企业所有制改革，加强以管资本为主的国资监管，做强做优做大国有资本，促进国有资产保值增值。</w:t>
      </w:r>
      <w:r>
        <w:rPr>
          <w:rFonts w:hint="eastAsia" w:ascii="仿宋_GB2312" w:hAnsi="微软雅黑" w:eastAsia="仿宋_GB2312" w:cs="仿宋_GB2312"/>
          <w:sz w:val="32"/>
          <w:szCs w:val="32"/>
        </w:rPr>
        <w:t>严格落实国家、自治区各项减税降费政策，降低民营企业各项成本。健全金融机构服务民营企业体系。完善民营企业股权融资支持制度。优化公平竞争的市场环境，全面落实市场准入负面清单制度和外商投资准入前国民待遇加负面清单管理制度，进一步放开民营企业市场准入，强化公平竞争审查制度刚性约束。支持民营企业参与生态保护和高质量发展、乡村牧区振兴、军民融合发展、区域协调发展等战略。支持民营企业积极参与共建“一带一路”、中蒙俄经济走廊，开拓国内国际大市场。优化民营经济发展环境，引导民营经济建立现代企业制度，推进个转企、企升规、规改股、股上市。构建“亲”“清”政商关系。大力弘扬新时代企业家精神。鼓励达茂人回乡创业，吸收青年大学生在达茂工作。</w:t>
      </w:r>
    </w:p>
    <w:p w14:paraId="453BAC74">
      <w:pPr>
        <w:pStyle w:val="4"/>
        <w:rPr>
          <w:lang w:val="zh-CN"/>
        </w:rPr>
      </w:pPr>
      <w:bookmarkStart w:id="83" w:name="_Toc71878904"/>
      <w:r>
        <w:rPr>
          <w:rFonts w:hint="eastAsia"/>
          <w:lang w:val="zh-CN"/>
        </w:rPr>
        <w:t xml:space="preserve">第二节 </w:t>
      </w:r>
      <w:r>
        <w:rPr>
          <w:rFonts w:hint="eastAsia"/>
        </w:rPr>
        <w:t>深化重点领域改革</w:t>
      </w:r>
      <w:bookmarkEnd w:id="83"/>
    </w:p>
    <w:p w14:paraId="1BE7BEFD">
      <w:pPr>
        <w:autoSpaceDE w:val="0"/>
        <w:autoSpaceDN w:val="0"/>
        <w:spacing w:line="640" w:lineRule="exact"/>
        <w:ind w:firstLine="643" w:firstLineChars="200"/>
        <w:rPr>
          <w:rFonts w:ascii="仿宋_GB2312" w:hAnsi="仿宋" w:eastAsia="仿宋_GB2312"/>
          <w:sz w:val="32"/>
          <w:szCs w:val="32"/>
          <w:lang w:val="zh-CN"/>
        </w:rPr>
      </w:pPr>
      <w:r>
        <w:rPr>
          <w:rFonts w:hint="eastAsia" w:ascii="仿宋_GB2312" w:hAnsi="仿宋" w:eastAsia="仿宋_GB2312"/>
          <w:b/>
          <w:sz w:val="32"/>
          <w:szCs w:val="32"/>
          <w:lang w:val="zh-CN"/>
        </w:rPr>
        <w:t>深化财税金融体制改革。</w:t>
      </w:r>
      <w:r>
        <w:rPr>
          <w:rFonts w:hint="eastAsia" w:ascii="仿宋_GB2312" w:hAnsi="仿宋" w:eastAsia="仿宋_GB2312"/>
          <w:sz w:val="32"/>
          <w:szCs w:val="32"/>
          <w:lang w:val="zh-CN"/>
        </w:rPr>
        <w:t>加强财政预算管理，建立完备的预算制度，推行预算绩效管理，建成全方位、全过程、全覆盖的预算绩效管理体系。继续加大力度化解地方政府债务存量，严控新增政府性债务，将综合债务率控制在合理水平。加强风险预警管理，严格防范区域性和系统性风险的发生。继续加大督查和审计力度，加强人大对政府债务的审查和监督。支持地方中小银行和农村信用社回归本源、专注主业和可持续发展，优化服务网点布局，增强金融市场活力，促进稳增长和防风险的长期均衡，坚决守住不发生系统性区域性金融风险底线，加强建设横向联动、纵向贯通的协同监管体系。</w:t>
      </w:r>
    </w:p>
    <w:p w14:paraId="6158FC7B">
      <w:pPr>
        <w:shd w:val="clear" w:color="auto" w:fill="FFFFFF"/>
        <w:spacing w:line="640" w:lineRule="exact"/>
        <w:ind w:firstLine="639" w:firstLineChars="199"/>
        <w:rPr>
          <w:rFonts w:ascii="仿宋_GB2312" w:hAnsi="仿宋" w:eastAsia="仿宋_GB2312"/>
          <w:sz w:val="32"/>
          <w:szCs w:val="32"/>
          <w:lang w:val="zh-CN"/>
        </w:rPr>
      </w:pPr>
      <w:r>
        <w:rPr>
          <w:rFonts w:hint="eastAsia" w:ascii="仿宋_GB2312" w:hAnsi="仿宋" w:eastAsia="仿宋_GB2312"/>
          <w:b/>
          <w:sz w:val="32"/>
          <w:szCs w:val="32"/>
          <w:lang w:val="zh-CN"/>
        </w:rPr>
        <w:t>深化农村牧区改革。</w:t>
      </w:r>
      <w:r>
        <w:rPr>
          <w:rFonts w:hint="eastAsia" w:ascii="仿宋_GB2312" w:hAnsi="仿宋" w:eastAsia="仿宋_GB2312"/>
          <w:sz w:val="32"/>
          <w:szCs w:val="32"/>
          <w:lang w:val="zh-CN"/>
        </w:rPr>
        <w:t>稳定土地承包和草场承包制度，在保持现有农村牧区土地承包关系稳定的基础上，落实第二轮承包到期后再延长30年政策。推动农村牧区土地征收、集体经营性建设用地入市、宅基地制度改革试点。落实土地征收中兼顾国家、集体、个人的土地增值收益分配机制，加快完成农村牧区集体建设用地使用权确权登记颁证。在符合国土空间规划、用途管制和依法取得前提下，推动农村集体经营性建设用地入市，推进集体经营性建设用地使用权和地上建筑物所有权房地一体、分割转让，发挥农村牧区产权流转交易平台作用，发展壮大农村牧区集体经济，促进集体资产保值增值。</w:t>
      </w:r>
    </w:p>
    <w:p w14:paraId="271E36D4">
      <w:pPr>
        <w:shd w:val="clear" w:color="auto" w:fill="FFFFFF"/>
        <w:spacing w:line="640" w:lineRule="exact"/>
        <w:ind w:firstLine="639" w:firstLineChars="199"/>
        <w:rPr>
          <w:rFonts w:ascii="仿宋_GB2312" w:hAnsi="微软雅黑" w:eastAsia="仿宋_GB2312" w:cs="宋体"/>
          <w:sz w:val="32"/>
          <w:szCs w:val="32"/>
        </w:rPr>
      </w:pPr>
      <w:r>
        <w:rPr>
          <w:rFonts w:hint="eastAsia" w:ascii="仿宋_GB2312" w:hAnsi="微软雅黑" w:eastAsia="仿宋_GB2312" w:cs="宋体"/>
          <w:b/>
          <w:sz w:val="32"/>
          <w:szCs w:val="32"/>
        </w:rPr>
        <w:t>加强要素市场运行机制改革。</w:t>
      </w:r>
      <w:r>
        <w:rPr>
          <w:rFonts w:hint="eastAsia" w:ascii="仿宋_GB2312" w:hAnsi="微软雅黑" w:eastAsia="仿宋_GB2312" w:cs="宋体"/>
          <w:sz w:val="32"/>
          <w:szCs w:val="32"/>
        </w:rPr>
        <w:t>健全要素市场化交易平台，拓展公共资源交易平台功能，健全要素交易信息公开目录，鼓励各类所有制企业参与要素交易平台建设。完善要素交易规则和服务，实行公共资源交易全流程电子化。完善土地市场交易运行机制。引导银行保险机构与政府部门、中介机构合作，提升服务要素市场化配置能力。加大要素领域反垄断和反不正当竞争执法力度，清理废除妨碍统一市场和公平竞争的政策措施，提升要素交易监管水平。</w:t>
      </w:r>
    </w:p>
    <w:p w14:paraId="66104E66">
      <w:pPr>
        <w:pStyle w:val="4"/>
        <w:rPr>
          <w:lang w:val="zh-CN"/>
        </w:rPr>
      </w:pPr>
      <w:bookmarkStart w:id="84" w:name="_Toc71878905"/>
      <w:r>
        <w:rPr>
          <w:rFonts w:hint="eastAsia"/>
          <w:lang w:val="zh-CN"/>
        </w:rPr>
        <w:t>第三节 构建一流营商环境</w:t>
      </w:r>
      <w:bookmarkEnd w:id="84"/>
    </w:p>
    <w:p w14:paraId="46F4FF4E">
      <w:pPr>
        <w:widowControl w:val="0"/>
        <w:adjustRightInd/>
        <w:snapToGrid/>
        <w:spacing w:line="640" w:lineRule="exact"/>
        <w:ind w:firstLine="640" w:firstLineChars="200"/>
        <w:jc w:val="both"/>
        <w:textAlignment w:val="baseline"/>
        <w:rPr>
          <w:rFonts w:ascii="仿宋_GB2312" w:hAnsi="等线" w:eastAsia="仿宋_GB2312"/>
          <w:bCs/>
          <w:kern w:val="2"/>
          <w:sz w:val="32"/>
          <w:szCs w:val="32"/>
        </w:rPr>
      </w:pPr>
      <w:bookmarkStart w:id="85" w:name="_Toc64711847"/>
      <w:r>
        <w:rPr>
          <w:rFonts w:hint="eastAsia" w:ascii="仿宋_GB2312" w:hAnsi="等线" w:eastAsia="仿宋_GB2312"/>
          <w:bCs/>
          <w:kern w:val="2"/>
          <w:sz w:val="32"/>
          <w:szCs w:val="32"/>
        </w:rPr>
        <w:t>持续转变政府职能，聚焦审批最少、服务最好、速度最快，打造市场化、法制化、国际化的一流营商环境。实施营商环境提升行动，全面落实国家、自治区、包头市优化营商环境各项措施，全力优化再造流程，积极推进企业设立开办、工程建设审批制度等重点领域改革，在准入、成本、税费、融资、基础设施、产业配套、产权保护、公共服务等方面综合施策，最大限度精简行政审批事项、环节和时限。深化放管服改革，</w:t>
      </w:r>
      <w:r>
        <w:rPr>
          <w:rFonts w:hint="eastAsia" w:ascii="仿宋_GB2312" w:hAnsi="Times New Roman" w:eastAsia="仿宋_GB2312"/>
          <w:sz w:val="32"/>
          <w:szCs w:val="32"/>
          <w:shd w:val="clear" w:color="070000" w:fill="FFFFFF"/>
        </w:rPr>
        <w:t>持续深化商事制度改革，</w:t>
      </w:r>
      <w:r>
        <w:rPr>
          <w:rFonts w:hint="eastAsia" w:ascii="仿宋_GB2312" w:hAnsi="等线" w:eastAsia="仿宋_GB2312"/>
          <w:bCs/>
          <w:kern w:val="2"/>
          <w:sz w:val="32"/>
          <w:szCs w:val="32"/>
        </w:rPr>
        <w:t>深化简政放权、放管结合、优化服务改革，做好旗乡两级权力事项的承接，全面推行权责清单，构建职责明确、依法行政的政府治理体系，建设人民满意的诚信型、服务型政府。创新政府管理和服务方式，加强网上政务服务能力建设，深化政务公开，优化政务服务便民热线、马背政务服务机制。制定“零跑腿”事项清单，推进“一窗受理”“一网通办”</w:t>
      </w:r>
      <w:r>
        <w:rPr>
          <w:rFonts w:hint="eastAsia" w:ascii="仿宋_GB2312" w:hAnsi="Times New Roman" w:eastAsia="仿宋_GB2312"/>
          <w:sz w:val="32"/>
          <w:szCs w:val="32"/>
          <w:shd w:val="clear" w:color="070000" w:fill="FFFFFF"/>
        </w:rPr>
        <w:t xml:space="preserve"> “一次办好”</w:t>
      </w:r>
      <w:r>
        <w:rPr>
          <w:rFonts w:hint="eastAsia" w:ascii="仿宋_GB2312" w:hAnsi="等线" w:eastAsia="仿宋_GB2312"/>
          <w:bCs/>
          <w:kern w:val="2"/>
          <w:sz w:val="32"/>
          <w:szCs w:val="32"/>
        </w:rPr>
        <w:t>，加快政务数据有序共享，推进政务服务标准化、规范化、便利化。</w:t>
      </w:r>
      <w:r>
        <w:rPr>
          <w:rFonts w:hint="eastAsia" w:ascii="仿宋_GB2312" w:hAnsi="Times New Roman" w:eastAsia="仿宋_GB2312"/>
          <w:sz w:val="32"/>
          <w:szCs w:val="32"/>
          <w:shd w:val="clear" w:color="070000" w:fill="FFFFFF"/>
        </w:rPr>
        <w:t>搭建互联共享的一体化在线政务服务平台，80%以上政务服务事项“移动可办”，90%以上政务服务事项“一网通办”，打造“掌上办事之城”。建立健全政务服务365天“不打烊”、线上业务办理、24小时查询等机制。</w:t>
      </w:r>
      <w:r>
        <w:rPr>
          <w:rFonts w:hint="eastAsia" w:ascii="仿宋_GB2312" w:hAnsi="等线" w:eastAsia="仿宋_GB2312"/>
          <w:bCs/>
          <w:kern w:val="2"/>
          <w:sz w:val="32"/>
          <w:szCs w:val="32"/>
        </w:rPr>
        <w:t>推动“非禁即入”普遍落实。健全党委政府定期研究民营企业发展工作机制，持续推出优化营商环境改革措施，不断升级达茂优化营商环境版本。健全重大政策事前评估和事后评价制度，畅通企业和群众参与渠道，提高决策科学化、民主化、法治化水平。</w:t>
      </w:r>
    </w:p>
    <w:p w14:paraId="21668C84">
      <w:pPr>
        <w:pStyle w:val="4"/>
        <w:rPr>
          <w:lang w:val="zh-CN"/>
        </w:rPr>
      </w:pPr>
      <w:bookmarkStart w:id="86" w:name="_Toc71878906"/>
      <w:r>
        <w:rPr>
          <w:rFonts w:hint="eastAsia"/>
          <w:lang w:val="zh-CN"/>
        </w:rPr>
        <w:t>第四节 推进社会信用</w:t>
      </w:r>
      <w:r>
        <w:rPr>
          <w:lang w:val="zh-CN"/>
        </w:rPr>
        <w:t>体系</w:t>
      </w:r>
      <w:r>
        <w:rPr>
          <w:rFonts w:hint="eastAsia"/>
          <w:lang w:val="zh-CN"/>
        </w:rPr>
        <w:t>建设</w:t>
      </w:r>
      <w:bookmarkEnd w:id="85"/>
      <w:bookmarkEnd w:id="86"/>
    </w:p>
    <w:p w14:paraId="7FE6ADAD">
      <w:pPr>
        <w:spacing w:line="600" w:lineRule="exact"/>
        <w:ind w:firstLine="640"/>
        <w:jc w:val="both"/>
        <w:rPr>
          <w:rFonts w:ascii="仿宋_GB2312" w:hAnsi="Times New Roman" w:eastAsia="仿宋_GB2312"/>
          <w:sz w:val="32"/>
          <w:szCs w:val="32"/>
        </w:rPr>
      </w:pPr>
      <w:r>
        <w:rPr>
          <w:rFonts w:hint="eastAsia" w:ascii="仿宋_GB2312" w:hAnsi="等线" w:eastAsia="仿宋_GB2312"/>
          <w:bCs/>
          <w:kern w:val="2"/>
          <w:sz w:val="32"/>
          <w:szCs w:val="32"/>
        </w:rPr>
        <w:t>完善诚信建设长效机制，推进信用信息共享，完善政府部门信用信息向市场主体有序开放机制，</w:t>
      </w:r>
      <w:r>
        <w:rPr>
          <w:rFonts w:ascii="仿宋_GB2312" w:hAnsi="等线" w:eastAsia="仿宋_GB2312"/>
          <w:bCs/>
          <w:kern w:val="2"/>
          <w:sz w:val="32"/>
          <w:szCs w:val="32"/>
        </w:rPr>
        <w:t>完善失信主体信用修复机制。建立健全</w:t>
      </w:r>
      <w:r>
        <w:rPr>
          <w:rFonts w:hint="eastAsia" w:ascii="仿宋_GB2312" w:hAnsi="等线" w:eastAsia="仿宋_GB2312"/>
          <w:bCs/>
          <w:kern w:val="2"/>
          <w:sz w:val="32"/>
          <w:szCs w:val="32"/>
        </w:rPr>
        <w:t>企业</w:t>
      </w:r>
      <w:r>
        <w:rPr>
          <w:rFonts w:ascii="仿宋_GB2312" w:hAnsi="等线" w:eastAsia="仿宋_GB2312"/>
          <w:bCs/>
          <w:kern w:val="2"/>
          <w:sz w:val="32"/>
          <w:szCs w:val="32"/>
        </w:rPr>
        <w:t>失信责任追究制度。严格市场监管、质量监管、安全监管，加强违法惩戒。加强市场监管创新，健全以</w:t>
      </w:r>
      <w:r>
        <w:rPr>
          <w:rFonts w:hint="eastAsia" w:ascii="仿宋_GB2312" w:hAnsi="等线" w:eastAsia="仿宋_GB2312"/>
          <w:bCs/>
          <w:kern w:val="2"/>
          <w:sz w:val="32"/>
          <w:szCs w:val="32"/>
        </w:rPr>
        <w:t>“</w:t>
      </w:r>
      <w:r>
        <w:rPr>
          <w:rFonts w:ascii="仿宋_GB2312" w:hAnsi="等线" w:eastAsia="仿宋_GB2312"/>
          <w:bCs/>
          <w:kern w:val="2"/>
          <w:sz w:val="32"/>
          <w:szCs w:val="32"/>
        </w:rPr>
        <w:t>双随机、一公开</w:t>
      </w:r>
      <w:r>
        <w:rPr>
          <w:rFonts w:hint="eastAsia" w:ascii="仿宋_GB2312" w:hAnsi="等线" w:eastAsia="仿宋_GB2312"/>
          <w:bCs/>
          <w:kern w:val="2"/>
          <w:sz w:val="32"/>
          <w:szCs w:val="32"/>
        </w:rPr>
        <w:t>”</w:t>
      </w:r>
      <w:r>
        <w:rPr>
          <w:rFonts w:ascii="仿宋_GB2312" w:hAnsi="等线" w:eastAsia="仿宋_GB2312"/>
          <w:bCs/>
          <w:kern w:val="2"/>
          <w:sz w:val="32"/>
          <w:szCs w:val="32"/>
        </w:rPr>
        <w:t>监管为基本手段，以重点监管为补充、以信用监管为基础的新型监管机制。</w:t>
      </w:r>
      <w:r>
        <w:rPr>
          <w:rFonts w:hint="eastAsia" w:ascii="仿宋_GB2312" w:hAnsi="Times New Roman" w:eastAsia="仿宋_GB2312"/>
          <w:sz w:val="32"/>
          <w:szCs w:val="32"/>
        </w:rPr>
        <w:t>推进政务诚信建设，建立政务诚信监测治理体系</w:t>
      </w:r>
      <w:r>
        <w:rPr>
          <w:rFonts w:hint="eastAsia" w:ascii="仿宋_GB2312" w:eastAsia="仿宋_GB2312"/>
          <w:sz w:val="32"/>
          <w:szCs w:val="32"/>
        </w:rPr>
        <w:t>；</w:t>
      </w:r>
      <w:r>
        <w:rPr>
          <w:rFonts w:hint="eastAsia" w:ascii="仿宋_GB2312" w:hAnsi="Times New Roman" w:eastAsia="仿宋_GB2312"/>
          <w:sz w:val="32"/>
          <w:szCs w:val="32"/>
        </w:rPr>
        <w:t>推进商务诚信建设，依法依规推进信用承诺制，开展以信用为基础的分级分类监管</w:t>
      </w:r>
      <w:r>
        <w:rPr>
          <w:rFonts w:hint="eastAsia" w:ascii="仿宋_GB2312" w:eastAsia="仿宋_GB2312"/>
          <w:sz w:val="32"/>
          <w:szCs w:val="32"/>
        </w:rPr>
        <w:t>；</w:t>
      </w:r>
      <w:r>
        <w:rPr>
          <w:rFonts w:hint="eastAsia" w:ascii="仿宋_GB2312" w:hAnsi="Times New Roman" w:eastAsia="仿宋_GB2312"/>
          <w:sz w:val="32"/>
          <w:szCs w:val="32"/>
        </w:rPr>
        <w:t>推进社会诚信建设，不断拓宽信用应用场景，深入开展诚信典型</w:t>
      </w:r>
      <w:r>
        <w:rPr>
          <w:rFonts w:hint="eastAsia" w:ascii="仿宋_GB2312" w:eastAsia="仿宋_GB2312"/>
          <w:sz w:val="32"/>
          <w:szCs w:val="32"/>
        </w:rPr>
        <w:t>选</w:t>
      </w:r>
      <w:r>
        <w:rPr>
          <w:rFonts w:hint="eastAsia" w:ascii="仿宋_GB2312" w:hAnsi="Times New Roman" w:eastAsia="仿宋_GB2312"/>
          <w:sz w:val="32"/>
          <w:szCs w:val="32"/>
        </w:rPr>
        <w:t>树</w:t>
      </w:r>
      <w:r>
        <w:rPr>
          <w:rFonts w:hint="eastAsia" w:ascii="仿宋_GB2312" w:eastAsia="仿宋_GB2312"/>
          <w:sz w:val="32"/>
          <w:szCs w:val="32"/>
        </w:rPr>
        <w:t>活动</w:t>
      </w:r>
      <w:r>
        <w:rPr>
          <w:rFonts w:hint="eastAsia" w:ascii="仿宋_GB2312" w:hAnsi="Times New Roman" w:eastAsia="仿宋_GB2312"/>
          <w:sz w:val="32"/>
          <w:szCs w:val="32"/>
        </w:rPr>
        <w:t>，加快培育信用服务市场，强化诚信宣传教育，提升全社会诚信意识。</w:t>
      </w:r>
    </w:p>
    <w:p w14:paraId="2A5E84F4">
      <w:pPr>
        <w:pStyle w:val="3"/>
      </w:pPr>
      <w:bookmarkStart w:id="87" w:name="_Toc71878907"/>
      <w:r>
        <w:rPr>
          <w:rFonts w:hint="eastAsia"/>
        </w:rPr>
        <w:t>第十四章 扩大内需 服务融入新发展格局</w:t>
      </w:r>
      <w:bookmarkEnd w:id="87"/>
    </w:p>
    <w:p w14:paraId="7C95D982">
      <w:pPr>
        <w:widowControl w:val="0"/>
        <w:adjustRightInd/>
        <w:snapToGrid/>
        <w:spacing w:line="640" w:lineRule="exact"/>
        <w:ind w:firstLine="640" w:firstLineChars="200"/>
        <w:jc w:val="both"/>
        <w:textAlignment w:val="baseline"/>
        <w:rPr>
          <w:rFonts w:ascii="仿宋_GB2312" w:hAnsi="等线" w:eastAsia="仿宋_GB2312"/>
          <w:bCs/>
          <w:kern w:val="2"/>
          <w:sz w:val="32"/>
          <w:szCs w:val="32"/>
        </w:rPr>
      </w:pPr>
      <w:r>
        <w:rPr>
          <w:rFonts w:hint="eastAsia" w:ascii="仿宋_GB2312" w:hAnsi="等线" w:eastAsia="仿宋_GB2312"/>
          <w:bCs/>
          <w:kern w:val="2"/>
          <w:sz w:val="32"/>
          <w:szCs w:val="32"/>
        </w:rPr>
        <w:t>紧扣国家扩大内需战略基点，充分发挥投资对优化供给结构的关键性作用，增强消费对经济发展的基础性作用，实施更加主动积极的开放战略，以更加开放的姿态抢抓发展新机遇，把握好对外开放和区域合作两个基点，在更大范围、更广领域、更高层次上参与竞争合作，融入国内国际双循环新格局。</w:t>
      </w:r>
    </w:p>
    <w:p w14:paraId="7841B61F">
      <w:pPr>
        <w:pStyle w:val="4"/>
      </w:pPr>
      <w:bookmarkStart w:id="88" w:name="_Toc71878908"/>
      <w:r>
        <w:rPr>
          <w:rFonts w:hint="eastAsia"/>
        </w:rPr>
        <w:t>第一节 发挥投资的拉动作用</w:t>
      </w:r>
      <w:bookmarkEnd w:id="88"/>
    </w:p>
    <w:p w14:paraId="2793BA39">
      <w:pPr>
        <w:widowControl w:val="0"/>
        <w:adjustRightInd/>
        <w:snapToGrid/>
        <w:spacing w:line="640" w:lineRule="exact"/>
        <w:ind w:firstLine="643" w:firstLineChars="200"/>
        <w:jc w:val="both"/>
        <w:textAlignment w:val="baseline"/>
        <w:rPr>
          <w:rFonts w:ascii="仿宋_GB2312" w:hAnsi="等线" w:eastAsia="仿宋_GB2312"/>
          <w:bCs/>
          <w:kern w:val="2"/>
          <w:sz w:val="32"/>
          <w:szCs w:val="32"/>
        </w:rPr>
      </w:pPr>
      <w:r>
        <w:rPr>
          <w:rFonts w:hint="eastAsia" w:ascii="仿宋_GB2312" w:hAnsi="等线" w:eastAsia="仿宋_GB2312"/>
          <w:b/>
          <w:bCs/>
          <w:kern w:val="2"/>
          <w:sz w:val="32"/>
          <w:szCs w:val="32"/>
        </w:rPr>
        <w:t>扩大重点领域投资。</w:t>
      </w:r>
      <w:r>
        <w:rPr>
          <w:rFonts w:hint="eastAsia" w:ascii="仿宋_GB2312" w:hAnsi="等线" w:eastAsia="仿宋_GB2312"/>
          <w:kern w:val="2"/>
          <w:sz w:val="32"/>
          <w:szCs w:val="32"/>
        </w:rPr>
        <w:t>优化投资方向，精准聚焦短板和薄弱环节，合理扩大有效投资。加大“两新一重”、生态环保、关键产业、公共服务、物资储备、防灾减灾、民生保障等领域的投资。策划实施一批产业升级、新兴产业、高新技术的重点项目，推动产业链向高端化、智能化、绿色化发展。统筹保障项目资金需求，推动重点项目顺利实施。</w:t>
      </w:r>
    </w:p>
    <w:p w14:paraId="00DF9EEE">
      <w:pPr>
        <w:spacing w:line="640" w:lineRule="exact"/>
        <w:ind w:firstLine="641"/>
        <w:jc w:val="both"/>
        <w:rPr>
          <w:rFonts w:ascii="仿宋_GB2312" w:hAnsi="Times New Roman" w:eastAsia="仿宋_GB2312"/>
          <w:sz w:val="32"/>
          <w:szCs w:val="32"/>
        </w:rPr>
      </w:pPr>
      <w:r>
        <w:rPr>
          <w:rFonts w:hint="eastAsia" w:ascii="仿宋_GB2312" w:hAnsi="等线" w:eastAsia="仿宋_GB2312"/>
          <w:b/>
          <w:bCs/>
          <w:kern w:val="2"/>
          <w:sz w:val="32"/>
          <w:szCs w:val="32"/>
        </w:rPr>
        <w:t>拓展投融资渠道。</w:t>
      </w:r>
      <w:r>
        <w:rPr>
          <w:rFonts w:hint="eastAsia" w:ascii="仿宋_GB2312" w:hAnsi="等线" w:eastAsia="仿宋_GB2312"/>
          <w:bCs/>
          <w:kern w:val="2"/>
          <w:sz w:val="32"/>
          <w:szCs w:val="32"/>
        </w:rPr>
        <w:t>全力争取中央预算内投资和中央财政专项资金支持，争取经济社会发展重点领域的示范试点项目，推动国家、自治区、包头市重大项目工程在我旗落地，争取纳入国家乡村振兴重点帮扶县行列。加快推进政府融资平台市场化转型，加强政银企社对接合作，创新适合我旗的金融产品，搭建融资对接平台。创新投融资体制机制，推广政府和社会资本合作模式，发挥政府投资撬动作用，激发民间投资活力，带动更多社会资本参与投资，形成市场主导的投资内生增长机制。</w:t>
      </w:r>
      <w:r>
        <w:rPr>
          <w:rFonts w:hint="eastAsia" w:ascii="仿宋_GB2312" w:hAnsi="Times New Roman" w:eastAsia="仿宋_GB2312"/>
          <w:sz w:val="32"/>
          <w:szCs w:val="32"/>
        </w:rPr>
        <w:t>规范政府和社会资本合作程序，构建合理清晰的权责利关系，提高项目实施效率。</w:t>
      </w:r>
    </w:p>
    <w:p w14:paraId="599093B3">
      <w:pPr>
        <w:spacing w:line="640" w:lineRule="exact"/>
        <w:ind w:firstLine="641"/>
        <w:jc w:val="both"/>
        <w:rPr>
          <w:rFonts w:ascii="仿宋_GB2312" w:hAnsi="Times New Roman" w:eastAsia="仿宋_GB2312"/>
          <w:sz w:val="32"/>
          <w:szCs w:val="32"/>
        </w:rPr>
      </w:pPr>
      <w:r>
        <w:rPr>
          <w:rFonts w:hint="eastAsia" w:ascii="仿宋_GB2312" w:hAnsi="Times New Roman" w:eastAsia="仿宋_GB2312"/>
          <w:b/>
          <w:bCs/>
          <w:sz w:val="32"/>
          <w:szCs w:val="32"/>
        </w:rPr>
        <w:t>加强重大项目储备。</w:t>
      </w:r>
      <w:r>
        <w:rPr>
          <w:rFonts w:hint="eastAsia" w:ascii="仿宋_GB2312" w:hAnsi="Times New Roman" w:eastAsia="仿宋_GB2312"/>
          <w:bCs/>
          <w:sz w:val="32"/>
          <w:szCs w:val="32"/>
        </w:rPr>
        <w:t>准确把握</w:t>
      </w:r>
      <w:r>
        <w:rPr>
          <w:rFonts w:hint="eastAsia" w:ascii="仿宋_GB2312" w:hAnsi="Times New Roman" w:eastAsia="仿宋_GB2312"/>
          <w:sz w:val="32"/>
          <w:szCs w:val="32"/>
        </w:rPr>
        <w:t>国家产业政策，精准对接国家、自治区重点领域建设规划，建立完善项目储备和滚动动态管理机制，加大重大项目谋划储备力度。统筹考虑能耗、水耗、用地等约束指标，重点围绕传统产业转型升级、战略性新兴产业、</w:t>
      </w:r>
      <w:r>
        <w:rPr>
          <w:rFonts w:hint="eastAsia" w:ascii="仿宋_GB2312" w:hAnsi="Times New Roman" w:eastAsia="仿宋_GB2312"/>
          <w:sz w:val="32"/>
          <w:szCs w:val="32"/>
          <w:lang w:val="zh-CN"/>
        </w:rPr>
        <w:t>“两</w:t>
      </w:r>
      <w:r>
        <w:rPr>
          <w:rFonts w:hint="eastAsia" w:ascii="仿宋_GB2312" w:hAnsi="Times New Roman" w:eastAsia="仿宋_GB2312"/>
          <w:sz w:val="32"/>
          <w:szCs w:val="32"/>
        </w:rPr>
        <w:t>新一重”、生态环保、民生保障等短板，策划储备一批条件成熟、基础扎实、高质量发展的项目。</w:t>
      </w:r>
    </w:p>
    <w:p w14:paraId="6954D3CD">
      <w:pPr>
        <w:spacing w:line="640" w:lineRule="exact"/>
        <w:ind w:firstLine="641"/>
        <w:jc w:val="both"/>
        <w:rPr>
          <w:rFonts w:ascii="仿宋_GB2312" w:hAnsi="Times New Roman" w:eastAsia="仿宋_GB2312"/>
          <w:sz w:val="32"/>
          <w:szCs w:val="32"/>
        </w:rPr>
      </w:pPr>
      <w:r>
        <w:rPr>
          <w:rFonts w:hint="eastAsia" w:ascii="仿宋_GB2312" w:hAnsi="等线" w:eastAsia="仿宋_GB2312"/>
          <w:b/>
          <w:bCs/>
          <w:kern w:val="2"/>
          <w:sz w:val="32"/>
          <w:szCs w:val="32"/>
        </w:rPr>
        <w:t>全力推进招商引资。</w:t>
      </w:r>
      <w:r>
        <w:rPr>
          <w:rFonts w:hint="eastAsia" w:ascii="仿宋_GB2312" w:hAnsi="等线" w:eastAsia="仿宋_GB2312"/>
          <w:bCs/>
          <w:kern w:val="2"/>
          <w:sz w:val="32"/>
          <w:szCs w:val="32"/>
        </w:rPr>
        <w:t>抓住国家促进产业有序转型机遇，创新和优化招商引资方式，推动多维联动招商，进一步提高招商引资质量和水平，大力引进符合绿色产业要求和产业定位的项目。坚持“走出去、请进来”相结合，主动对接三类500强企业，联系对接各地商会和行业协会，全链全业全时全员开展招商引资，引进新技术、新产品、新业态、新模式项目，为达茂旗经济发展注入新的动力。落实招商引资月调度、季评估、年考核制度，形成比学赶超的良好氛围。全力做好引进企业、项目、人才的服务保障工作，落实领导干部包联重点项目、重点企业制度和驻企联络员制度，优化为企服务，帮助企业解决实际困难，营造亲商重商、爱商扶商的浓厚氛围。</w:t>
      </w:r>
      <w:r>
        <w:rPr>
          <w:rFonts w:hint="eastAsia" w:ascii="仿宋_GB2312" w:hAnsi="Times New Roman" w:eastAsia="仿宋_GB2312"/>
          <w:sz w:val="32"/>
          <w:szCs w:val="32"/>
        </w:rPr>
        <w:t>建立健全重点招商项目入库、出库滚动机制，完善信息化招商网络和招商引资服务方式，不断推进项目的落地实施。</w:t>
      </w:r>
    </w:p>
    <w:p w14:paraId="708C23FA">
      <w:pPr>
        <w:pStyle w:val="4"/>
      </w:pPr>
      <w:bookmarkStart w:id="89" w:name="_Toc71878909"/>
      <w:r>
        <w:rPr>
          <w:rFonts w:hint="eastAsia"/>
        </w:rPr>
        <w:t>第二节 提升消费的基础性作用</w:t>
      </w:r>
      <w:bookmarkEnd w:id="89"/>
    </w:p>
    <w:p w14:paraId="0A58BD0F">
      <w:pPr>
        <w:widowControl w:val="0"/>
        <w:adjustRightInd/>
        <w:snapToGrid/>
        <w:spacing w:line="640" w:lineRule="exact"/>
        <w:ind w:firstLine="643" w:firstLineChars="200"/>
        <w:jc w:val="both"/>
        <w:textAlignment w:val="baseline"/>
        <w:rPr>
          <w:rFonts w:ascii="仿宋_GB2312" w:hAnsi="等线" w:eastAsia="仿宋_GB2312"/>
          <w:bCs/>
          <w:kern w:val="2"/>
          <w:sz w:val="32"/>
          <w:szCs w:val="32"/>
        </w:rPr>
      </w:pPr>
      <w:r>
        <w:rPr>
          <w:rFonts w:hint="eastAsia" w:ascii="仿宋_GB2312" w:hAnsi="等线" w:eastAsia="仿宋_GB2312"/>
          <w:b/>
          <w:bCs/>
          <w:kern w:val="2"/>
          <w:sz w:val="32"/>
          <w:szCs w:val="32"/>
        </w:rPr>
        <w:t>促进传统消费提质升级。</w:t>
      </w:r>
      <w:r>
        <w:rPr>
          <w:rFonts w:hint="eastAsia" w:ascii="仿宋_GB2312" w:hAnsi="等线" w:eastAsia="仿宋_GB2312"/>
          <w:bCs/>
          <w:kern w:val="2"/>
          <w:sz w:val="32"/>
          <w:szCs w:val="32"/>
        </w:rPr>
        <w:t>坚持提升本地消费与拓展外来消费并重，推动传统实物消费升级，加快实体商业创新转型，规范农贸市场运营，畅通城乡双向联动渠道，推动工业品下乡、农畜产品进城，鼓励引导农牧民消费梯次升级。落实带薪休假制度，扩大节假日消费。顺应平台型消费、共享经济发展的趋势，促进线上线下融合发展，培育网络消费、定制消费、体验消费、服务消费等新模式，推广云直播、云购物、云消费、云体验等消费新模式。优化消费环境，加强消费市场监管，健全消费者维权机制，保护消费者的合法权益。</w:t>
      </w:r>
    </w:p>
    <w:p w14:paraId="563966BC">
      <w:pPr>
        <w:widowControl w:val="0"/>
        <w:adjustRightInd/>
        <w:snapToGrid/>
        <w:spacing w:line="640" w:lineRule="exact"/>
        <w:ind w:firstLine="643" w:firstLineChars="200"/>
        <w:jc w:val="both"/>
        <w:textAlignment w:val="baseline"/>
        <w:rPr>
          <w:rFonts w:ascii="仿宋_GB2312" w:hAnsi="等线" w:eastAsia="仿宋_GB2312"/>
          <w:bCs/>
          <w:kern w:val="2"/>
          <w:sz w:val="32"/>
          <w:szCs w:val="32"/>
        </w:rPr>
      </w:pPr>
      <w:r>
        <w:rPr>
          <w:rFonts w:hint="eastAsia" w:ascii="仿宋_GB2312" w:hAnsi="等线" w:eastAsia="仿宋_GB2312"/>
          <w:b/>
          <w:bCs/>
          <w:kern w:val="2"/>
          <w:sz w:val="32"/>
          <w:szCs w:val="32"/>
        </w:rPr>
        <w:t>挖掘居民消费潜力。</w:t>
      </w:r>
      <w:r>
        <w:rPr>
          <w:rFonts w:hint="eastAsia" w:ascii="仿宋_GB2312" w:hAnsi="等线" w:eastAsia="仿宋_GB2312"/>
          <w:bCs/>
          <w:kern w:val="2"/>
          <w:sz w:val="32"/>
          <w:szCs w:val="32"/>
        </w:rPr>
        <w:t>优化发展城市商圈，引进高端商业资源和新型商业元素、商业模式。实施中等收入群体倍增行动，以进城农牧民、新型职业农牧民、大学毕业生为重点，不断壮大中等收入群体，促进消费品质升级和革命。鼓励支持社会力量参与文化、旅游、体育、健康、养老、家政等消费领域设施投入。推进“快递进村”工程，完善农村牧区电商网络，实施电子商务进嘎查村示范项目，健全农村牧区消费渠道，积极布局和建设农畜产品冷链物流体系，推动农牧区消费提档升级。营造安全放心消费环境，建立产品和服务消费后评价体系，完善全过程产品和服务安全防范机制。</w:t>
      </w:r>
    </w:p>
    <w:p w14:paraId="34B9104D">
      <w:pPr>
        <w:widowControl w:val="0"/>
        <w:adjustRightInd/>
        <w:snapToGrid/>
        <w:spacing w:line="640" w:lineRule="exact"/>
        <w:ind w:firstLine="643" w:firstLineChars="200"/>
        <w:jc w:val="both"/>
        <w:textAlignment w:val="baseline"/>
        <w:rPr>
          <w:rFonts w:ascii="仿宋_GB2312" w:hAnsi="等线" w:eastAsia="仿宋_GB2312"/>
          <w:bCs/>
          <w:kern w:val="2"/>
          <w:sz w:val="32"/>
          <w:szCs w:val="32"/>
        </w:rPr>
      </w:pPr>
      <w:r>
        <w:rPr>
          <w:rFonts w:hint="eastAsia" w:ascii="仿宋_GB2312" w:hAnsi="等线" w:eastAsia="仿宋_GB2312"/>
          <w:b/>
          <w:bCs/>
          <w:kern w:val="2"/>
          <w:sz w:val="32"/>
          <w:szCs w:val="32"/>
        </w:rPr>
        <w:t>健全现代流通体系。</w:t>
      </w:r>
      <w:r>
        <w:rPr>
          <w:rFonts w:hint="eastAsia" w:ascii="仿宋_GB2312" w:hAnsi="等线" w:eastAsia="仿宋_GB2312"/>
          <w:bCs/>
          <w:kern w:val="2"/>
          <w:sz w:val="32"/>
          <w:szCs w:val="32"/>
        </w:rPr>
        <w:t>完善交通运输市场，统筹推进物流枢纽设施和末端配送节点建设, 发展物流运输、仓储、装卸、包装、配送、信息等产业，融入国家和自治区“通道+枢纽+网络”的全链条综合运输体系。促进物流业与工业、农牧业深度融合，发展冷链物流、智慧物流，支持流通企业做大做优做强，推进新兴技术和智能化设备应用，降低物流业成本。全面参与包头市区域性物流中心建设，培育城乡融合的物流配送体系，实现山北地区与山南地区物流市场联动发展。发展应急物流新业态，加快建立储备充足、反应迅速、抗冲击能力强的应急物流体系。以满都拉口岸国际公铁物流园区为枢纽壮大口岸物流业，推动中蒙双边物流贸易发展。适应多式联运发展需求，推广应用内陆集装箱，推动口岸物流标准化、协同化、智慧化、绿色化发展，打造自治区重要口岸物流枢纽。</w:t>
      </w:r>
    </w:p>
    <w:p w14:paraId="72EEC3B4">
      <w:pPr>
        <w:pStyle w:val="4"/>
      </w:pPr>
      <w:bookmarkStart w:id="90" w:name="_Toc71878910"/>
      <w:r>
        <w:rPr>
          <w:rFonts w:hint="eastAsia"/>
        </w:rPr>
        <w:t>第三节 扩大国内区域合作</w:t>
      </w:r>
      <w:bookmarkEnd w:id="90"/>
    </w:p>
    <w:p w14:paraId="45345337">
      <w:pPr>
        <w:autoSpaceDE w:val="0"/>
        <w:autoSpaceDN w:val="0"/>
        <w:spacing w:line="640" w:lineRule="exact"/>
        <w:ind w:firstLine="640" w:firstLineChars="200"/>
        <w:jc w:val="both"/>
        <w:rPr>
          <w:rFonts w:ascii="仿宋_GB2312" w:hAnsi="仿宋" w:eastAsia="仿宋_GB2312"/>
          <w:sz w:val="32"/>
          <w:szCs w:val="32"/>
          <w:lang w:val="zh-CN"/>
        </w:rPr>
      </w:pPr>
      <w:r>
        <w:rPr>
          <w:rFonts w:hint="eastAsia" w:ascii="仿宋_GB2312" w:hAnsi="仿宋" w:eastAsia="仿宋_GB2312"/>
          <w:sz w:val="32"/>
          <w:szCs w:val="32"/>
          <w:lang w:val="zh-CN"/>
        </w:rPr>
        <w:t>坚持区域协调、内外联动，主动服务融入西部大开发、京津冀协同发展、黄河流域生态保护和高质量发展，主动融入呼包银榆经济区、呼包鄂榆城市群、呼包鄂乌协调发展，加强与包头市、呼和浩特市、鄂尔多斯市等周边盟市旗县区合作，重点在产业发展、生态环保、文化旅游等领域实现合作共赢。进一步加强巴润工业园区承载配套能力建设，推进园区成为承接产业转移的发展平台。加强与长三角、珠三角等发达地区的对接，紧紧围绕全市“四基地两中心一高地一体系”发展定位，发挥我旗环境、电力、土地等成本优势，开展多层次、多形式、多领域招商活动和合作共建，吸引发达地区资金、技术、人才等要素，积极承接京津冀、长三角等地区冶金化工、绿色农畜产品加工等产业转移，培育产业发展新优势。加快设立产业飞地、科创飞地，吸引企业总部和分部、产业联盟入驻我旗，实现与发达地区之间产业的有效对接、互惠共赢，积极探索建设承接发达地区产业转移的“飞地经济”示范区，促进借力借势发展。</w:t>
      </w:r>
    </w:p>
    <w:p w14:paraId="5151237A">
      <w:pPr>
        <w:pStyle w:val="4"/>
      </w:pPr>
      <w:bookmarkStart w:id="91" w:name="_Toc71878911"/>
      <w:r>
        <w:rPr>
          <w:rFonts w:hint="eastAsia"/>
        </w:rPr>
        <w:t>第四节 积极培育对外开放新优势</w:t>
      </w:r>
      <w:bookmarkEnd w:id="91"/>
    </w:p>
    <w:p w14:paraId="5CF718D7">
      <w:pPr>
        <w:autoSpaceDE w:val="0"/>
        <w:autoSpaceDN w:val="0"/>
        <w:spacing w:line="640" w:lineRule="exact"/>
        <w:ind w:firstLine="643" w:firstLineChars="200"/>
        <w:jc w:val="both"/>
        <w:rPr>
          <w:rFonts w:ascii="仿宋_GB2312" w:hAnsi="仿宋" w:eastAsia="仿宋_GB2312"/>
          <w:sz w:val="32"/>
          <w:szCs w:val="32"/>
        </w:rPr>
      </w:pPr>
      <w:r>
        <w:rPr>
          <w:rFonts w:hint="eastAsia" w:ascii="仿宋_GB2312" w:hAnsi="仿宋" w:eastAsia="仿宋_GB2312"/>
          <w:b/>
          <w:sz w:val="32"/>
          <w:szCs w:val="32"/>
        </w:rPr>
        <w:t>创新对外开放模式。</w:t>
      </w:r>
      <w:r>
        <w:rPr>
          <w:rFonts w:hint="eastAsia" w:ascii="仿宋_GB2312" w:hAnsi="仿宋" w:eastAsia="仿宋_GB2312" w:cs="楷体"/>
          <w:kern w:val="2"/>
          <w:sz w:val="32"/>
          <w:szCs w:val="32"/>
        </w:rPr>
        <w:t>立足区位优势，</w:t>
      </w:r>
      <w:r>
        <w:rPr>
          <w:rFonts w:hint="eastAsia" w:ascii="仿宋_GB2312" w:hAnsi="仿宋" w:eastAsia="仿宋_GB2312"/>
          <w:sz w:val="32"/>
          <w:szCs w:val="32"/>
        </w:rPr>
        <w:t>主动融入“一带一路”及中蒙俄经济走廊建设，深化与沿线国家经济贸易、人文科技等领域的交流。推动实现高质量引进来和高水平走出去，加强同蒙古国及周边区域产业链供应链对接，深化能源资源开发、基础设施建设、生态环境保护等领域务实合作，推动优势企业积极参与国际产能协作，大力发展泛口岸经济和外向型经济，打造自治区对外开放新高地。加强对蒙交流，推动双方合作再上新台阶。</w:t>
      </w:r>
    </w:p>
    <w:p w14:paraId="771B5489">
      <w:pPr>
        <w:pStyle w:val="23"/>
        <w:widowControl w:val="0"/>
        <w:spacing w:line="640" w:lineRule="exact"/>
        <w:ind w:firstLine="643"/>
        <w:jc w:val="both"/>
        <w:rPr>
          <w:rFonts w:ascii="仿宋_GB2312" w:hAnsi="Times New Roman" w:eastAsia="仿宋_GB2312"/>
          <w:color w:val="000000"/>
          <w:kern w:val="2"/>
        </w:rPr>
      </w:pPr>
      <w:r>
        <w:rPr>
          <w:rFonts w:ascii="Times New Roman" w:hAnsi="Times New Roman" w:eastAsia="仿宋_GB2312"/>
          <w:b/>
          <w:bCs/>
          <w:color w:val="000000"/>
        </w:rPr>
        <w:t>打造千万吨级贸易口岸。</w:t>
      </w:r>
      <w:r>
        <w:rPr>
          <w:rFonts w:ascii="Times New Roman" w:hAnsi="Times New Roman" w:eastAsia="仿宋_GB2312"/>
          <w:color w:val="000000"/>
        </w:rPr>
        <w:t>坚持多元发展、特色发展，将满都拉口岸打造为集贸易、仓储、集散</w:t>
      </w:r>
      <w:r>
        <w:rPr>
          <w:rFonts w:hint="eastAsia" w:ascii="仿宋_GB2312" w:hAnsi="Times New Roman" w:eastAsia="仿宋_GB2312"/>
          <w:color w:val="000000"/>
        </w:rPr>
        <w:t>、加工“四位一体”的</w:t>
      </w:r>
      <w:r>
        <w:rPr>
          <w:rFonts w:ascii="Times New Roman" w:hAnsi="Times New Roman" w:eastAsia="仿宋_GB2312"/>
          <w:color w:val="000000"/>
        </w:rPr>
        <w:t>国家重要物流枢纽、辐射呼包鄂榆城市群的进口加工基地和包头市对外开放新高地。</w:t>
      </w:r>
      <w:r>
        <w:rPr>
          <w:rFonts w:ascii="Times New Roman" w:hAnsi="Times New Roman" w:eastAsia="仿宋_GB2312"/>
          <w:bCs/>
          <w:color w:val="000000"/>
        </w:rPr>
        <w:t>着力夯</w:t>
      </w:r>
      <w:r>
        <w:rPr>
          <w:rFonts w:ascii="Times New Roman" w:hAnsi="Times New Roman" w:eastAsia="仿宋_GB2312"/>
          <w:bCs/>
          <w:color w:val="000000"/>
          <w:kern w:val="2"/>
        </w:rPr>
        <w:t>基扩容。</w:t>
      </w:r>
      <w:r>
        <w:rPr>
          <w:rFonts w:ascii="Times New Roman" w:hAnsi="Times New Roman" w:eastAsia="仿宋_GB2312"/>
          <w:color w:val="000000"/>
          <w:kern w:val="2"/>
        </w:rPr>
        <w:t>紧</w:t>
      </w:r>
      <w:r>
        <w:rPr>
          <w:rFonts w:hint="eastAsia" w:ascii="仿宋_GB2312" w:hAnsi="Times New Roman" w:eastAsia="仿宋_GB2312"/>
          <w:color w:val="000000"/>
          <w:kern w:val="2"/>
        </w:rPr>
        <w:t>紧扭住“通道建设”</w:t>
      </w:r>
      <w:r>
        <w:rPr>
          <w:rFonts w:ascii="Times New Roman" w:hAnsi="Times New Roman" w:eastAsia="仿宋_GB2312"/>
          <w:color w:val="000000"/>
          <w:kern w:val="2"/>
        </w:rPr>
        <w:t>这个瓶颈问题，全力打通塔温陶勒盖至杭吉口岸矿运公路，加快推动赛音山达至杭吉口岸公路、珠恩巴音至杭吉口岸铁路等境外通道建设，</w:t>
      </w:r>
      <w:r>
        <w:rPr>
          <w:rFonts w:ascii="Times New Roman" w:hAnsi="Times New Roman" w:eastAsia="仿宋_GB2312"/>
          <w:color w:val="000000"/>
        </w:rPr>
        <w:t>申报满都拉国际铁路口岸。</w:t>
      </w:r>
      <w:r>
        <w:rPr>
          <w:rFonts w:ascii="Times New Roman" w:hAnsi="Times New Roman" w:eastAsia="仿宋_GB2312"/>
          <w:color w:val="000000"/>
          <w:kern w:val="2"/>
        </w:rPr>
        <w:t>围绕“绿色、高效、智能、安全”定位，加快特色化口岸建设，实现跨境通关非接触、智能化。全力改善口岸基础设施，</w:t>
      </w:r>
      <w:r>
        <w:rPr>
          <w:rFonts w:ascii="Times New Roman" w:hAnsi="Times New Roman" w:eastAsia="仿宋_GB2312"/>
          <w:color w:val="000000"/>
        </w:rPr>
        <w:t>扩大海关监管场所规模，</w:t>
      </w:r>
      <w:r>
        <w:rPr>
          <w:rFonts w:ascii="Times New Roman" w:hAnsi="Times New Roman" w:eastAsia="仿宋_GB2312"/>
          <w:color w:val="000000"/>
          <w:kern w:val="2"/>
        </w:rPr>
        <w:t>建设口岸铁路物流园区</w:t>
      </w:r>
      <w:r>
        <w:rPr>
          <w:rFonts w:hint="eastAsia" w:ascii="仿宋_GB2312" w:hAnsi="Times New Roman" w:eastAsia="仿宋_GB2312"/>
          <w:color w:val="000000"/>
          <w:kern w:val="2"/>
        </w:rPr>
        <w:t>。加快推动“散改集”，“十四五”期间集装箱物流比例达到50%以上。推动海关、边检通关流程再造，通关效率提高30%，逐步</w:t>
      </w:r>
      <w:r>
        <w:rPr>
          <w:rFonts w:ascii="Times New Roman" w:hAnsi="Times New Roman" w:eastAsia="仿宋_GB2312"/>
          <w:color w:val="000000"/>
          <w:kern w:val="2"/>
        </w:rPr>
        <w:t>降低口岸制度性成本。</w:t>
      </w:r>
      <w:r>
        <w:rPr>
          <w:rFonts w:ascii="Times New Roman" w:hAnsi="Times New Roman" w:eastAsia="仿宋_GB2312"/>
          <w:bCs/>
          <w:color w:val="000000"/>
          <w:kern w:val="2"/>
        </w:rPr>
        <w:t>强化提质增量。</w:t>
      </w:r>
      <w:r>
        <w:rPr>
          <w:rFonts w:ascii="Times New Roman" w:hAnsi="Times New Roman" w:eastAsia="仿宋_GB2312"/>
          <w:color w:val="000000"/>
          <w:kern w:val="2"/>
        </w:rPr>
        <w:t>紧</w:t>
      </w:r>
      <w:r>
        <w:rPr>
          <w:rFonts w:hint="eastAsia" w:ascii="仿宋_GB2312" w:hAnsi="Times New Roman" w:eastAsia="仿宋_GB2312"/>
          <w:color w:val="000000"/>
          <w:kern w:val="2"/>
        </w:rPr>
        <w:t>紧盯住“过货量”这个硬指标，着眼口岸境外交通沿线辐射区开辟货源，扩大大宗商品进口，加快形成以铁、煤、铜、畜产品为主的进口格局，“十四五”末，年过货突破1000万吨。放活口岸市场经济，尽快运营肉类口岸指定监管场地，积极引进大型外贸企业，培育壮大现有贸易企业，到2025年外贸规模扩张到60亿元左右。积极拓展出口贸易业务，扩大货运车辆、建材、机械等货物出口，“十四五”末，出口货物力争占到进出口货物总量的20%。</w:t>
      </w:r>
      <w:r>
        <w:rPr>
          <w:rFonts w:ascii="Times New Roman" w:hAnsi="Times New Roman" w:eastAsia="仿宋_GB2312"/>
          <w:color w:val="000000"/>
          <w:kern w:val="2"/>
        </w:rPr>
        <w:t>推动口岸物流从运输、装卸、仓储向配送、加工等多领域拓展，实现通道经济变落地经济。申报建设跨境经济合作区，推动构建“前港、中区、后城”口岸建设格局，联结巴润工业园区，延</w:t>
      </w:r>
      <w:r>
        <w:rPr>
          <w:rFonts w:hint="eastAsia" w:ascii="仿宋_GB2312" w:hAnsi="Times New Roman" w:eastAsia="仿宋_GB2312"/>
          <w:color w:val="000000"/>
          <w:kern w:val="2"/>
        </w:rPr>
        <w:t>伸辐射呼包鄂榆城市群，境外资源落地加工转化率力争达到50%以上。积极打造边境、跨境贸易电商服务综合平台。</w:t>
      </w:r>
    </w:p>
    <w:p w14:paraId="66E4213F">
      <w:pPr>
        <w:pStyle w:val="2"/>
        <w:ind w:firstLine="640"/>
      </w:pPr>
    </w:p>
    <w:tbl>
      <w:tblPr>
        <w:tblStyle w:val="25"/>
        <w:tblpPr w:leftFromText="180" w:rightFromText="180" w:vertAnchor="text" w:horzAnchor="page" w:tblpX="1896" w:tblpY="2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A6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522" w:type="dxa"/>
          </w:tcPr>
          <w:p w14:paraId="4E443E71">
            <w:pPr>
              <w:pStyle w:val="135"/>
              <w:spacing w:before="240"/>
              <w:ind w:firstLine="482"/>
              <w:jc w:val="center"/>
              <w:rPr>
                <w:b/>
                <w:color w:val="auto"/>
              </w:rPr>
            </w:pPr>
            <w:r>
              <w:rPr>
                <w:rFonts w:hint="eastAsia"/>
                <w:b/>
                <w:color w:val="auto"/>
              </w:rPr>
              <w:t>专栏23  扩大开放</w:t>
            </w:r>
          </w:p>
          <w:p w14:paraId="5E799354">
            <w:pPr>
              <w:pStyle w:val="135"/>
              <w:rPr>
                <w:color w:val="auto"/>
              </w:rPr>
            </w:pPr>
            <w:r>
              <w:rPr>
                <w:rFonts w:hint="eastAsia"/>
                <w:color w:val="auto"/>
              </w:rPr>
              <w:t>电子口岸建设项目、智慧口岸建设项目、满都拉口岸基础设施互联互通建设项目、集装箱物流园区、铁路装车基地、保税区建设项目、跨境经济合作区建设项目、大型物流集散地建设项目等。</w:t>
            </w:r>
          </w:p>
        </w:tc>
      </w:tr>
    </w:tbl>
    <w:p w14:paraId="0346282E"/>
    <w:p w14:paraId="06B8BF94">
      <w:pPr>
        <w:pStyle w:val="3"/>
      </w:pPr>
      <w:bookmarkStart w:id="92" w:name="_Toc71878912"/>
      <w:r>
        <w:rPr>
          <w:rFonts w:hint="eastAsia"/>
        </w:rPr>
        <w:t>第十五章 聚焦民生 全面增进人民福祉</w:t>
      </w:r>
      <w:bookmarkEnd w:id="92"/>
    </w:p>
    <w:p w14:paraId="37032DC7">
      <w:pPr>
        <w:pStyle w:val="22"/>
        <w:spacing w:before="0" w:beforeAutospacing="0" w:after="0" w:afterAutospacing="0" w:line="6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坚持把实现好、维护好、发展好最广大人民根本利益作为发展的出发点和落脚点，尽力而为、量力而行，健全基本公共服务体系，扎实推动共同富裕，不断增强人民群众获得感、幸福感和安全感，促进人的全面发展和社会全面进步。</w:t>
      </w:r>
      <w:bookmarkStart w:id="93" w:name="_Toc64711812"/>
    </w:p>
    <w:p w14:paraId="4BC1DBC9">
      <w:pPr>
        <w:pStyle w:val="4"/>
      </w:pPr>
      <w:bookmarkStart w:id="94" w:name="_Toc71878913"/>
      <w:r>
        <w:rPr>
          <w:rFonts w:hint="eastAsia"/>
        </w:rPr>
        <w:t>第一节 提高居民收入水平</w:t>
      </w:r>
      <w:bookmarkEnd w:id="93"/>
      <w:bookmarkEnd w:id="94"/>
    </w:p>
    <w:p w14:paraId="1DF9157D">
      <w:pPr>
        <w:widowControl w:val="0"/>
        <w:adjustRightInd/>
        <w:snapToGrid/>
        <w:spacing w:line="640" w:lineRule="exact"/>
        <w:ind w:firstLine="640" w:firstLineChars="200"/>
        <w:jc w:val="both"/>
        <w:textAlignment w:val="baseline"/>
        <w:rPr>
          <w:rFonts w:ascii="等线" w:hAnsi="等线" w:eastAsia="仿宋_GB2312"/>
          <w:kern w:val="2"/>
          <w:sz w:val="32"/>
        </w:rPr>
      </w:pPr>
      <w:r>
        <w:rPr>
          <w:rFonts w:hint="eastAsia" w:ascii="等线" w:hAnsi="等线" w:eastAsia="仿宋_GB2312"/>
          <w:kern w:val="2"/>
          <w:sz w:val="32"/>
        </w:rPr>
        <w:t>坚持按劳分配为主体、多种分配方式并存的收入分配方式，努力提高居民收入在国民收入分配中的比重，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w:t>
      </w:r>
      <w:r>
        <w:rPr>
          <w:rFonts w:ascii="等线" w:hAnsi="等线" w:eastAsia="仿宋_GB2312"/>
          <w:kern w:val="2"/>
          <w:sz w:val="32"/>
        </w:rPr>
        <w:t>发挥第三次分配作用，发展慈善事业</w:t>
      </w:r>
      <w:r>
        <w:rPr>
          <w:rFonts w:hint="eastAsia" w:ascii="等线" w:hAnsi="等线" w:eastAsia="仿宋_GB2312"/>
          <w:kern w:val="2"/>
          <w:sz w:val="32"/>
        </w:rPr>
        <w:t>。</w:t>
      </w:r>
    </w:p>
    <w:p w14:paraId="027D0A87">
      <w:pPr>
        <w:pStyle w:val="4"/>
      </w:pPr>
      <w:bookmarkStart w:id="95" w:name="_Toc71878914"/>
      <w:r>
        <w:rPr>
          <w:rFonts w:hint="eastAsia"/>
        </w:rPr>
        <w:t>第二节 实现更高质量就业</w:t>
      </w:r>
      <w:bookmarkEnd w:id="95"/>
    </w:p>
    <w:p w14:paraId="2FF20E8C">
      <w:pPr>
        <w:spacing w:line="640" w:lineRule="exact"/>
        <w:ind w:firstLine="643" w:firstLineChars="200"/>
        <w:jc w:val="both"/>
        <w:rPr>
          <w:rFonts w:ascii="仿宋_GB2312" w:hAnsi="仿宋" w:eastAsia="仿宋_GB2312" w:cs="仿宋"/>
          <w:sz w:val="32"/>
          <w:szCs w:val="32"/>
        </w:rPr>
      </w:pPr>
      <w:r>
        <w:rPr>
          <w:rFonts w:hint="eastAsia" w:ascii="仿宋_GB2312" w:hAnsi="微软雅黑" w:eastAsia="仿宋_GB2312" w:cs="宋体"/>
          <w:b/>
          <w:bCs/>
          <w:sz w:val="32"/>
          <w:szCs w:val="32"/>
        </w:rPr>
        <w:t>实施就业优先战略。</w:t>
      </w:r>
      <w:r>
        <w:rPr>
          <w:rFonts w:hint="eastAsia" w:ascii="仿宋_GB2312" w:hAnsi="仿宋" w:eastAsia="仿宋_GB2312" w:cs="楷体"/>
          <w:kern w:val="2"/>
          <w:sz w:val="32"/>
          <w:szCs w:val="32"/>
        </w:rPr>
        <w:t>围绕我旗重点项目建设和优势特色产业发展，</w:t>
      </w:r>
      <w:r>
        <w:rPr>
          <w:rFonts w:hint="eastAsia" w:ascii="仿宋_GB2312" w:hAnsi="仿宋" w:eastAsia="仿宋_GB2312" w:cs="仿宋_GB2312"/>
          <w:sz w:val="32"/>
          <w:szCs w:val="32"/>
        </w:rPr>
        <w:t>千方百计稳定和扩大就业。</w:t>
      </w:r>
      <w:r>
        <w:rPr>
          <w:rFonts w:hint="eastAsia" w:ascii="仿宋_GB2312" w:hAnsi="仿宋" w:eastAsia="仿宋_GB2312" w:cs="楷体"/>
          <w:kern w:val="2"/>
          <w:sz w:val="32"/>
          <w:szCs w:val="32"/>
        </w:rPr>
        <w:t>扩大</w:t>
      </w:r>
      <w:r>
        <w:rPr>
          <w:rFonts w:hint="eastAsia" w:ascii="仿宋_GB2312" w:hAnsi="仿宋" w:eastAsia="仿宋_GB2312" w:cs="仿宋"/>
          <w:sz w:val="32"/>
          <w:szCs w:val="32"/>
        </w:rPr>
        <w:t>公益性岗位安置，</w:t>
      </w:r>
      <w:r>
        <w:rPr>
          <w:rFonts w:hint="eastAsia" w:ascii="仿宋_GB2312" w:hAnsi="仿宋" w:eastAsia="仿宋_GB2312" w:cs="仿宋_GB2312"/>
          <w:sz w:val="32"/>
          <w:szCs w:val="32"/>
        </w:rPr>
        <w:t>关注重点群体就业，促进</w:t>
      </w:r>
      <w:r>
        <w:rPr>
          <w:rFonts w:hint="eastAsia" w:ascii="仿宋_GB2312" w:hAnsi="仿宋" w:eastAsia="仿宋_GB2312" w:cs="仿宋"/>
          <w:sz w:val="32"/>
          <w:szCs w:val="32"/>
        </w:rPr>
        <w:t>以高校毕业生、农村牧区转移劳动人口、城镇就业困难人员、</w:t>
      </w:r>
      <w:r>
        <w:rPr>
          <w:rFonts w:hint="eastAsia" w:ascii="仿宋_GB2312" w:hAnsi="微软雅黑" w:eastAsia="仿宋_GB2312" w:cs="宋体"/>
          <w:sz w:val="32"/>
          <w:szCs w:val="32"/>
        </w:rPr>
        <w:t>“零就业”家庭、</w:t>
      </w:r>
      <w:r>
        <w:rPr>
          <w:rFonts w:hint="eastAsia" w:ascii="仿宋_GB2312" w:hAnsi="仿宋" w:eastAsia="仿宋_GB2312" w:cs="仿宋"/>
          <w:sz w:val="32"/>
          <w:szCs w:val="32"/>
        </w:rPr>
        <w:t>退役军人充分就业。</w:t>
      </w:r>
      <w:r>
        <w:rPr>
          <w:rFonts w:ascii="Times New Roman" w:hAnsi="Times New Roman" w:eastAsia="仿宋_GB2312"/>
          <w:kern w:val="2"/>
          <w:sz w:val="32"/>
          <w:szCs w:val="40"/>
        </w:rPr>
        <w:t>实施“三支一扶”、社区民生志愿者、特岗教师和志愿者服务西部计划等项目</w:t>
      </w:r>
      <w:r>
        <w:rPr>
          <w:rFonts w:hint="eastAsia" w:ascii="Times New Roman" w:hAnsi="Times New Roman" w:eastAsia="仿宋_GB2312"/>
          <w:kern w:val="2"/>
          <w:sz w:val="32"/>
          <w:szCs w:val="40"/>
        </w:rPr>
        <w:t>。</w:t>
      </w:r>
      <w:r>
        <w:rPr>
          <w:rFonts w:ascii="Times New Roman" w:hAnsi="Times New Roman" w:eastAsia="仿宋_GB2312"/>
          <w:kern w:val="2"/>
          <w:sz w:val="32"/>
          <w:szCs w:val="40"/>
        </w:rPr>
        <w:t>完善企业</w:t>
      </w:r>
      <w:r>
        <w:rPr>
          <w:rFonts w:hint="eastAsia" w:ascii="Times New Roman" w:hAnsi="Times New Roman" w:eastAsia="仿宋_GB2312"/>
          <w:kern w:val="2"/>
          <w:sz w:val="32"/>
          <w:szCs w:val="40"/>
        </w:rPr>
        <w:t>就业</w:t>
      </w:r>
      <w:r>
        <w:rPr>
          <w:rFonts w:ascii="Times New Roman" w:hAnsi="Times New Roman" w:eastAsia="仿宋_GB2312"/>
          <w:kern w:val="2"/>
          <w:sz w:val="32"/>
          <w:szCs w:val="40"/>
        </w:rPr>
        <w:t>支持政策，发挥大企业、民营企业吸纳就业的作用，发展就业容量大的劳动密集型产业及服务业</w:t>
      </w:r>
      <w:r>
        <w:rPr>
          <w:rFonts w:hint="eastAsia" w:ascii="Times New Roman" w:hAnsi="Times New Roman" w:eastAsia="仿宋_GB2312"/>
          <w:kern w:val="2"/>
          <w:sz w:val="32"/>
          <w:szCs w:val="40"/>
        </w:rPr>
        <w:t>。</w:t>
      </w:r>
      <w:r>
        <w:rPr>
          <w:rFonts w:hint="eastAsia" w:ascii="仿宋_GB2312" w:hAnsi="仿宋" w:eastAsia="仿宋_GB2312" w:cs="仿宋"/>
          <w:sz w:val="32"/>
          <w:szCs w:val="32"/>
        </w:rPr>
        <w:t>进一步增强中小企业吸纳劳动力就业的能力，降低个体经营者就业创业成本，</w:t>
      </w:r>
      <w:r>
        <w:rPr>
          <w:rFonts w:hint="eastAsia" w:ascii="仿宋_GB2312" w:hAnsi="仿宋" w:eastAsia="仿宋_GB2312" w:cs="仿宋_GB2312"/>
          <w:bCs/>
          <w:sz w:val="32"/>
          <w:szCs w:val="32"/>
        </w:rPr>
        <w:t>最大限度释放各类市场主体的创业活力。</w:t>
      </w:r>
      <w:r>
        <w:rPr>
          <w:rFonts w:ascii="Times New Roman" w:hAnsi="Times New Roman" w:eastAsia="仿宋_GB2312"/>
          <w:kern w:val="2"/>
          <w:sz w:val="32"/>
          <w:szCs w:val="40"/>
        </w:rPr>
        <w:t>深入实施失业保险促进就业和援企稳岗</w:t>
      </w:r>
      <w:r>
        <w:rPr>
          <w:rFonts w:hint="eastAsia" w:ascii="Times New Roman" w:hAnsi="Times New Roman" w:eastAsia="仿宋_GB2312"/>
          <w:kern w:val="2"/>
          <w:sz w:val="32"/>
          <w:szCs w:val="40"/>
        </w:rPr>
        <w:t>政策</w:t>
      </w:r>
      <w:r>
        <w:rPr>
          <w:rFonts w:ascii="Times New Roman" w:hAnsi="Times New Roman" w:eastAsia="仿宋_GB2312"/>
          <w:kern w:val="2"/>
          <w:sz w:val="32"/>
          <w:szCs w:val="40"/>
        </w:rPr>
        <w:t>，全面落实减税降费政策，切实减轻企业负担，助力企业发展，稳定就业岗位。</w:t>
      </w:r>
      <w:r>
        <w:rPr>
          <w:rFonts w:hint="eastAsia" w:ascii="仿宋_GB2312" w:hAnsi="仿宋" w:eastAsia="仿宋_GB2312" w:cs="仿宋"/>
          <w:sz w:val="32"/>
          <w:szCs w:val="32"/>
        </w:rPr>
        <w:t>积极推进与周边地区的劳务合作，加大劳务输出力度。</w:t>
      </w:r>
      <w:r>
        <w:rPr>
          <w:rFonts w:hint="eastAsia" w:ascii="仿宋_GB2312" w:hAnsi="微软雅黑" w:eastAsia="仿宋_GB2312" w:cs="宋体"/>
          <w:sz w:val="32"/>
          <w:szCs w:val="32"/>
        </w:rPr>
        <w:t>加快旗、乡两级公共就业平台建设，充分发挥就业服务平台的促进就业作用。建立信息采集、培训对接、就业对接、跟踪服务“四位一体”云平台，进行线上线下就业创业多样化服务，开展就业政策咨询、就业信息查询、职业指导和职业介绍等业务，促进就业供需精准对接。</w:t>
      </w:r>
    </w:p>
    <w:p w14:paraId="38E66FAB">
      <w:pPr>
        <w:spacing w:line="64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完善就业培训和创业带动就业的发展机制。</w:t>
      </w:r>
      <w:r>
        <w:rPr>
          <w:rFonts w:hint="eastAsia" w:ascii="仿宋_GB2312" w:hAnsi="仿宋" w:eastAsia="仿宋_GB2312" w:cs="仿宋"/>
          <w:sz w:val="32"/>
          <w:szCs w:val="32"/>
        </w:rPr>
        <w:t>建设公共职业实训基地，</w:t>
      </w:r>
      <w:r>
        <w:rPr>
          <w:rFonts w:hint="eastAsia" w:ascii="仿宋_GB2312" w:hAnsi="仿宋" w:eastAsia="仿宋_GB2312" w:cs="仿宋_GB2312"/>
          <w:sz w:val="32"/>
          <w:szCs w:val="32"/>
        </w:rPr>
        <w:t>健全终身职业技能培训制度。</w:t>
      </w:r>
      <w:r>
        <w:rPr>
          <w:rFonts w:ascii="Times New Roman" w:hAnsi="Times New Roman" w:eastAsia="仿宋_GB2312"/>
          <w:kern w:val="2"/>
          <w:sz w:val="32"/>
          <w:szCs w:val="40"/>
        </w:rPr>
        <w:t>以实施职业技能提升行动为重点，完善普惠性终身职业技能培训政策体系和组织实施体系，提升劳动者技能素质。</w:t>
      </w:r>
      <w:r>
        <w:rPr>
          <w:rFonts w:hint="eastAsia" w:ascii="仿宋_GB2312" w:hAnsi="仿宋" w:eastAsia="仿宋_GB2312" w:cs="仿宋"/>
          <w:sz w:val="32"/>
          <w:szCs w:val="32"/>
        </w:rPr>
        <w:t>持续加大创业扶持力度，建立劳动者自主择业、市场调节就业和政府促进就业的长效机制。继续实施创业就业小额贷款政策，</w:t>
      </w:r>
      <w:r>
        <w:rPr>
          <w:rFonts w:hint="eastAsia" w:ascii="仿宋_GB2312" w:hAnsi="仿宋" w:eastAsia="仿宋_GB2312" w:cs="仿宋_GB2312"/>
          <w:sz w:val="32"/>
          <w:szCs w:val="32"/>
        </w:rPr>
        <w:t>完善促进创业带动就业、多渠道灵活就业的保障制度。建立创业孵化园区，在租金、税收等方面给予大力优惠，鼓励和支持大学生、退伍军人、返乡人员通过创业带动就业。健全就业需求调查和失业监测预警机制。</w:t>
      </w:r>
      <w:r>
        <w:rPr>
          <w:rFonts w:hint="eastAsia" w:ascii="仿宋_GB2312" w:hAnsi="仿宋" w:eastAsia="仿宋_GB2312" w:cs="仿宋"/>
          <w:sz w:val="32"/>
          <w:szCs w:val="32"/>
        </w:rPr>
        <w:t>实行劳动用工备案制度，加强失业预警和劳动关系动态监控，全面做好农牧民工资保障工作，维护劳动者权益。“十四五”期间，农牧民转移就业年均保持在2万人以上，城镇新增就业每年达到1500人以上。城镇登记失业率控制在3.9%以内。</w:t>
      </w:r>
    </w:p>
    <w:p w14:paraId="15417946">
      <w:pPr>
        <w:rPr>
          <w:rFonts w:ascii="仿宋_GB2312" w:eastAsia="仿宋_GB2312"/>
          <w:sz w:val="28"/>
          <w:szCs w:val="36"/>
          <w:lang w:val="zh-CN"/>
        </w:rPr>
      </w:pPr>
    </w:p>
    <w:tbl>
      <w:tblPr>
        <w:tblStyle w:val="25"/>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28AC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8440" w:type="dxa"/>
          </w:tcPr>
          <w:p w14:paraId="34D7BB0D">
            <w:pPr>
              <w:pStyle w:val="135"/>
              <w:spacing w:before="240"/>
              <w:ind w:firstLine="482"/>
              <w:jc w:val="center"/>
              <w:rPr>
                <w:b/>
                <w:color w:val="auto"/>
              </w:rPr>
            </w:pPr>
            <w:r>
              <w:rPr>
                <w:rFonts w:hint="eastAsia"/>
                <w:b/>
                <w:color w:val="auto"/>
              </w:rPr>
              <w:t>专栏24  促就业创业行动</w:t>
            </w:r>
          </w:p>
          <w:p w14:paraId="56575B16">
            <w:pPr>
              <w:pStyle w:val="135"/>
              <w:rPr>
                <w:color w:val="auto"/>
                <w:sz w:val="28"/>
                <w:szCs w:val="21"/>
              </w:rPr>
            </w:pPr>
            <w:r>
              <w:rPr>
                <w:rFonts w:hint="eastAsia"/>
                <w:color w:val="auto"/>
              </w:rPr>
              <w:t>高校毕业生就业创业推进行动、农民工工资治欠保支专项治理行动、高水平人才队伍建设行动、退役军人职业技能提升行动、在外达茂籍人士雁归行动、技工教育援助计划。</w:t>
            </w:r>
          </w:p>
        </w:tc>
      </w:tr>
    </w:tbl>
    <w:p w14:paraId="16750D72">
      <w:pPr>
        <w:pStyle w:val="4"/>
      </w:pPr>
      <w:bookmarkStart w:id="96" w:name="_Toc71878915"/>
      <w:r>
        <w:rPr>
          <w:rFonts w:hint="eastAsia"/>
        </w:rPr>
        <w:t>第三节 促进教育事业发展</w:t>
      </w:r>
      <w:bookmarkEnd w:id="96"/>
    </w:p>
    <w:p w14:paraId="1F2C03F1">
      <w:pPr>
        <w:spacing w:line="600" w:lineRule="exact"/>
        <w:ind w:firstLine="643"/>
        <w:jc w:val="both"/>
        <w:rPr>
          <w:rFonts w:ascii="Times New Roman" w:hAnsi="Times New Roman" w:eastAsia="仿宋_GB2312"/>
          <w:sz w:val="32"/>
          <w:szCs w:val="40"/>
        </w:rPr>
      </w:pPr>
      <w:r>
        <w:rPr>
          <w:rFonts w:hint="eastAsia" w:ascii="仿宋_GB2312" w:hAnsi="仿宋" w:eastAsia="仿宋_GB2312" w:cs="楷体"/>
          <w:b/>
          <w:kern w:val="2"/>
          <w:sz w:val="32"/>
          <w:szCs w:val="32"/>
        </w:rPr>
        <w:t>建设高质量教育体系。</w:t>
      </w:r>
      <w:r>
        <w:rPr>
          <w:rFonts w:hint="eastAsia" w:ascii="仿宋_GB2312" w:hAnsi="仿宋" w:eastAsia="仿宋_GB2312" w:cs="仿宋"/>
          <w:sz w:val="32"/>
          <w:szCs w:val="32"/>
        </w:rPr>
        <w:t>聚焦办好人民满意的教育，坚持立德树人，培养德智体美劳全面发展的社会主义建设者和接班人。坚持教育公益性原则，促进教育公平，推动义务教育均衡发展，</w:t>
      </w:r>
      <w:r>
        <w:rPr>
          <w:rFonts w:hint="eastAsia" w:ascii="仿宋_GB2312" w:hAnsi="Times New Roman" w:eastAsia="仿宋_GB2312"/>
          <w:sz w:val="32"/>
          <w:szCs w:val="40"/>
        </w:rPr>
        <w:t>推行义务教育阶段教师“县管校聘”改革，实现城乡教师资源均衡配置。</w:t>
      </w:r>
      <w:r>
        <w:rPr>
          <w:rFonts w:hint="eastAsia" w:ascii="仿宋_GB2312" w:hAnsi="仿宋" w:eastAsia="仿宋_GB2312" w:cs="仿宋"/>
          <w:sz w:val="32"/>
          <w:szCs w:val="32"/>
        </w:rPr>
        <w:t>完善普惠性学前教育和特殊教育，推进公办、民办幼儿园共同发展，切实提升公办民办幼儿园和普惠性民办幼儿园覆盖率，促进各所幼儿园资源共享。落实幼小衔接行动计划，实现幼儿园和小学双向衔接。</w:t>
      </w:r>
      <w:r>
        <w:rPr>
          <w:rFonts w:hint="eastAsia" w:ascii="仿宋_GB2312" w:hAnsi="Times New Roman" w:eastAsia="仿宋_GB2312"/>
          <w:kern w:val="2"/>
          <w:sz w:val="32"/>
          <w:szCs w:val="32"/>
          <w:lang w:val="zh-CN"/>
        </w:rPr>
        <w:t>加快普通高中教育发展，</w:t>
      </w:r>
      <w:r>
        <w:rPr>
          <w:rFonts w:hint="eastAsia" w:ascii="仿宋_GB2312" w:hAnsi="Times New Roman" w:eastAsia="仿宋_GB2312"/>
          <w:sz w:val="32"/>
          <w:szCs w:val="40"/>
        </w:rPr>
        <w:t>加强特色高中建设，推进普通高中多样化有特色发展。</w:t>
      </w:r>
      <w:r>
        <w:rPr>
          <w:rFonts w:hint="eastAsia" w:ascii="仿宋_GB2312" w:hAnsi="仿宋" w:eastAsia="仿宋_GB2312" w:cs="仿宋"/>
          <w:sz w:val="32"/>
          <w:szCs w:val="32"/>
        </w:rPr>
        <w:t>提高民族教育质量和水平，继续改善民族学校办学条件，深化民族教育“双语”教学改革，加大国家通用语言文字推广力度。支持和规范民办教育发展，规范校外培训机构。</w:t>
      </w:r>
      <w:r>
        <w:rPr>
          <w:rFonts w:hint="eastAsia" w:ascii="仿宋_GB2312" w:hAnsi="Times New Roman" w:eastAsia="仿宋_GB2312"/>
          <w:bCs/>
          <w:sz w:val="32"/>
          <w:szCs w:val="40"/>
        </w:rPr>
        <w:t>全面深化教育综合改革。</w:t>
      </w:r>
      <w:r>
        <w:rPr>
          <w:rFonts w:hint="eastAsia" w:ascii="仿宋_GB2312" w:hAnsi="Times New Roman" w:eastAsia="仿宋_GB2312"/>
          <w:sz w:val="32"/>
          <w:szCs w:val="40"/>
        </w:rPr>
        <w:t>深入系统推进教育评价改革，建立科学的评价体系，促进教育治理能力和水平提升。推进招生考试制度改革，促进教育公平发展。实施教师教育振兴行动，提升教师教书育人能力素质，加强师德师风建设。</w:t>
      </w:r>
      <w:r>
        <w:rPr>
          <w:rFonts w:hint="eastAsia" w:ascii="仿宋_GB2312" w:hAnsi="仿宋" w:eastAsia="仿宋_GB2312" w:cs="仿宋"/>
          <w:sz w:val="32"/>
          <w:szCs w:val="32"/>
        </w:rPr>
        <w:t>健全学校家庭社会协同育人机制，提升教师教书育人能力素质，增强学生文明素养、社会责任意识、实践本领，重视青少年身体素质和心理健康教育。加大教育投入力度，实施中小学幼儿园操场改造工程、中小学幼儿园教学信息化改造工程、体育室建设项目、学校拓展训练场地及设备购置项目、校园安防建设等项目，提升教育基础设施和信息化水平。全面落实教育优先发展战略，完善财政投入机制，确保一般公共预算教育支出</w:t>
      </w:r>
      <w:bookmarkStart w:id="97" w:name="_Toc13733"/>
      <w:bookmarkStart w:id="98" w:name="_Toc24200"/>
      <w:r>
        <w:rPr>
          <w:rFonts w:hint="eastAsia" w:ascii="Times New Roman" w:hAnsi="Times New Roman" w:eastAsia="仿宋_GB2312"/>
          <w:sz w:val="32"/>
          <w:szCs w:val="40"/>
        </w:rPr>
        <w:t>逐年增加。</w:t>
      </w:r>
    </w:p>
    <w:p w14:paraId="3321DD19">
      <w:pPr>
        <w:pStyle w:val="4"/>
      </w:pPr>
      <w:bookmarkStart w:id="99" w:name="_Toc71878916"/>
      <w:r>
        <w:rPr>
          <w:rFonts w:hint="eastAsia"/>
        </w:rPr>
        <w:t>第四节 加强社会主义精神文明建设</w:t>
      </w:r>
      <w:bookmarkEnd w:id="97"/>
      <w:bookmarkEnd w:id="98"/>
      <w:bookmarkEnd w:id="99"/>
    </w:p>
    <w:p w14:paraId="662A912F">
      <w:pPr>
        <w:spacing w:line="640" w:lineRule="exact"/>
        <w:ind w:firstLine="640"/>
        <w:jc w:val="both"/>
        <w:rPr>
          <w:rFonts w:ascii="仿宋_GB2312" w:hAnsi="Times New Roman" w:eastAsia="仿宋_GB2312"/>
          <w:sz w:val="32"/>
          <w:szCs w:val="32"/>
        </w:rPr>
      </w:pPr>
      <w:r>
        <w:rPr>
          <w:rFonts w:hint="eastAsia" w:ascii="仿宋_GB2312" w:hAnsi="Times New Roman" w:eastAsia="仿宋_GB2312"/>
          <w:sz w:val="32"/>
          <w:szCs w:val="32"/>
        </w:rPr>
        <w:t>深入学习和实践习近平新时代中国特色社会主义思想，加强</w:t>
      </w:r>
      <w:r>
        <w:rPr>
          <w:rFonts w:hint="eastAsia" w:ascii="仿宋_GB2312" w:hAnsi="仿宋_GB2312" w:eastAsia="仿宋_GB2312" w:cs="仿宋_GB2312"/>
          <w:sz w:val="32"/>
          <w:szCs w:val="32"/>
        </w:rPr>
        <w:t>社会主义核心价值观</w:t>
      </w:r>
      <w:r>
        <w:rPr>
          <w:rFonts w:hint="eastAsia" w:ascii="仿宋_GB2312" w:hAnsi="Times New Roman" w:eastAsia="仿宋_GB2312"/>
          <w:sz w:val="32"/>
          <w:szCs w:val="32"/>
        </w:rPr>
        <w:t>和爱国主义、集体主义、社会主义教育，加强红色文化教育。</w:t>
      </w:r>
    </w:p>
    <w:p w14:paraId="20559BA0">
      <w:pPr>
        <w:widowControl w:val="0"/>
        <w:spacing w:line="640" w:lineRule="exact"/>
        <w:ind w:firstLine="630" w:firstLineChars="196"/>
        <w:jc w:val="both"/>
        <w:rPr>
          <w:rFonts w:ascii="仿宋_GB2312" w:hAnsi="仿宋_GB2312" w:eastAsia="仿宋_GB2312" w:cs="仿宋_GB2312"/>
          <w:sz w:val="32"/>
          <w:szCs w:val="32"/>
        </w:rPr>
      </w:pPr>
      <w:r>
        <w:rPr>
          <w:rFonts w:hint="eastAsia" w:ascii="仿宋_GB2312" w:hAnsi="Times New Roman" w:eastAsia="仿宋_GB2312"/>
          <w:b/>
          <w:bCs/>
          <w:sz w:val="32"/>
          <w:szCs w:val="32"/>
        </w:rPr>
        <w:t>加强精神文明创建活动。</w:t>
      </w:r>
      <w:r>
        <w:rPr>
          <w:rFonts w:hint="eastAsia" w:ascii="仿宋_GB2312" w:hAnsi="Times New Roman" w:eastAsia="仿宋_GB2312"/>
          <w:sz w:val="32"/>
          <w:szCs w:val="32"/>
        </w:rPr>
        <w:t>拓展完善新时代文明实践中心站所建设，</w:t>
      </w:r>
      <w:r>
        <w:rPr>
          <w:rFonts w:hint="eastAsia" w:ascii="仿宋_GB2312" w:hAnsi="Times New Roman" w:eastAsia="仿宋_GB2312"/>
          <w:bCs/>
          <w:sz w:val="32"/>
          <w:szCs w:val="32"/>
        </w:rPr>
        <w:t>开展</w:t>
      </w:r>
      <w:r>
        <w:rPr>
          <w:rFonts w:hint="eastAsia" w:ascii="仿宋_GB2312" w:hAnsi="Times New Roman" w:eastAsia="仿宋_GB2312"/>
          <w:sz w:val="32"/>
          <w:szCs w:val="32"/>
        </w:rPr>
        <w:t>新时代社会主义精神文明创建活动，</w:t>
      </w:r>
      <w:r>
        <w:rPr>
          <w:rFonts w:hint="eastAsia" w:ascii="仿宋_GB2312" w:hAnsi="仿宋_GB2312" w:eastAsia="仿宋_GB2312" w:cs="仿宋_GB2312"/>
          <w:sz w:val="32"/>
          <w:szCs w:val="32"/>
        </w:rPr>
        <w:t>提高全民思想道德素质和精神文明素质，为经济社会建设提供强大的思想保证、精神动力和智力支持。大力培育和践行社会主义核心价值观，用社会主义核心价值观引领社会思潮、凝聚社会共识。大力弘扬民族精神和时代精神，深入开展爱国主义、集体主义、社会主义教育。</w:t>
      </w:r>
    </w:p>
    <w:p w14:paraId="258A1455">
      <w:pPr>
        <w:widowControl w:val="0"/>
        <w:spacing w:line="640" w:lineRule="exact"/>
        <w:ind w:firstLine="630" w:firstLineChars="196"/>
        <w:jc w:val="both"/>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全面提高公民道德素质。</w:t>
      </w:r>
      <w:r>
        <w:rPr>
          <w:rFonts w:hint="eastAsia" w:ascii="仿宋_GB2312" w:hAnsi="仿宋_GB2312" w:eastAsia="仿宋_GB2312" w:cs="仿宋_GB2312"/>
          <w:sz w:val="32"/>
          <w:szCs w:val="32"/>
        </w:rPr>
        <w:t>加强社会公德、职业道德、家庭美德、个人品德教育，弘扬中华传统美德，弘扬时代新风。深入开展道德领域突出问题专项教育和治理，加强和改进思想政治工作，注重人文关怀和心理疏导，培育自尊自信、理性平和、积极向上的社会心态。深化群众性精神文明创建活动，广泛开展志愿服务，推动学雷锋活动、学习宣传道德模范常态化。进一步加强未成年人思想道德教育，建立和完善学校、家庭、社会“三位一体”的思想道德教育网络。</w:t>
      </w:r>
    </w:p>
    <w:p w14:paraId="68129B26">
      <w:pPr>
        <w:spacing w:line="640" w:lineRule="exact"/>
        <w:ind w:firstLine="643"/>
        <w:jc w:val="both"/>
        <w:rPr>
          <w:rFonts w:ascii="仿宋_GB2312" w:hAnsi="Times New Roman" w:eastAsia="仿宋_GB2312"/>
          <w:sz w:val="32"/>
          <w:szCs w:val="32"/>
        </w:rPr>
      </w:pPr>
      <w:r>
        <w:rPr>
          <w:rFonts w:hint="eastAsia" w:ascii="仿宋_GB2312" w:hAnsi="Times New Roman" w:eastAsia="仿宋_GB2312"/>
          <w:b/>
          <w:bCs/>
          <w:sz w:val="32"/>
          <w:szCs w:val="32"/>
        </w:rPr>
        <w:t>加强网络文明建设。</w:t>
      </w:r>
      <w:r>
        <w:rPr>
          <w:rFonts w:hint="eastAsia" w:ascii="仿宋_GB2312" w:hAnsi="Times New Roman" w:eastAsia="仿宋_GB2312"/>
          <w:sz w:val="32"/>
          <w:szCs w:val="32"/>
        </w:rPr>
        <w:t>正确引导舆论舆情，健全社会舆情引导机制，构建统筹协调、责任明确、功能互补、覆盖广泛、富有效率的舆论引导格局。加强网上思想文化阵地建设，发展积极健康的网络文化。健全网络舆情联席会商机制，加大网上突出问题治理力度，净化网络环境。强化新闻媒体社会责任，提升新闻队伍的政治素质和业务素质。</w:t>
      </w:r>
    </w:p>
    <w:p w14:paraId="485F0EF0">
      <w:pPr>
        <w:pStyle w:val="4"/>
      </w:pPr>
      <w:bookmarkStart w:id="100" w:name="_Toc71878917"/>
      <w:r>
        <w:rPr>
          <w:rFonts w:hint="eastAsia"/>
        </w:rPr>
        <w:t>第五节 提升公共文化服务水平</w:t>
      </w:r>
      <w:bookmarkEnd w:id="100"/>
    </w:p>
    <w:p w14:paraId="061E6468">
      <w:pPr>
        <w:spacing w:line="640" w:lineRule="exact"/>
        <w:ind w:firstLine="643" w:firstLineChars="200"/>
        <w:jc w:val="both"/>
        <w:rPr>
          <w:rFonts w:ascii="仿宋_GB2312" w:hAnsi="仿宋" w:eastAsia="仿宋_GB2312" w:cs="仿宋"/>
          <w:sz w:val="32"/>
          <w:szCs w:val="32"/>
        </w:rPr>
      </w:pPr>
      <w:r>
        <w:rPr>
          <w:rFonts w:hint="eastAsia" w:ascii="仿宋_GB2312" w:hAnsi="仿宋" w:eastAsia="仿宋_GB2312" w:cs="楷体"/>
          <w:b/>
          <w:kern w:val="2"/>
          <w:sz w:val="32"/>
          <w:szCs w:val="32"/>
        </w:rPr>
        <w:t>加强公共文化服务体系建设。</w:t>
      </w:r>
      <w:r>
        <w:rPr>
          <w:rFonts w:hint="eastAsia" w:ascii="仿宋_GB2312" w:hAnsi="仿宋" w:eastAsia="仿宋_GB2312" w:cs="仿宋"/>
          <w:sz w:val="32"/>
          <w:szCs w:val="32"/>
        </w:rPr>
        <w:t>推动文艺繁荣发展，贯彻落实《乌兰牧骑工作条例》，支持乌兰牧骑事业发展，实施文艺作品质量提升工程，创作一批体现时代特色、讴歌人民、有利于铸牢中华民族共同体意识的文艺作品，打造地方特色文艺精品。推进媒体融合向纵深发展，实施全媒体传播工程，用好旗融媒体中心。实施固边微波应急改扩建工程，推进基层广播电视转播台标准化、信号传输一体化建设。完善公共文化服务体系，有序开放和运营博物馆、纪念馆、演艺中心，优化公共图书馆、文化馆等场馆建设、管理和服务水平。实施文化惠民工程，提升乡村文化服务保障能力和水平，组织丰富多彩的群众文化活动，倡导全民阅读，推进公共文化数字化建设，满足人民群众精神文化需求。</w:t>
      </w:r>
    </w:p>
    <w:p w14:paraId="06EF7FB8">
      <w:pPr>
        <w:spacing w:line="640" w:lineRule="exact"/>
        <w:ind w:firstLine="643" w:firstLineChars="200"/>
        <w:jc w:val="both"/>
        <w:rPr>
          <w:rFonts w:ascii="仿宋_GB2312" w:hAnsi="仿宋" w:eastAsia="仿宋_GB2312" w:cs="仿宋"/>
          <w:sz w:val="32"/>
          <w:szCs w:val="32"/>
        </w:rPr>
      </w:pPr>
      <w:r>
        <w:rPr>
          <w:rFonts w:hint="eastAsia" w:ascii="仿宋_GB2312" w:hAnsi="Times New Roman" w:eastAsia="仿宋_GB2312"/>
          <w:b/>
          <w:bCs/>
          <w:sz w:val="32"/>
          <w:szCs w:val="32"/>
        </w:rPr>
        <w:t>加强文化遗产保护和非遗传承。</w:t>
      </w:r>
      <w:r>
        <w:rPr>
          <w:rFonts w:hint="eastAsia" w:ascii="仿宋_GB2312" w:hAnsi="Times New Roman" w:eastAsia="仿宋_GB2312"/>
          <w:bCs/>
          <w:sz w:val="32"/>
          <w:szCs w:val="32"/>
        </w:rPr>
        <w:t>树立</w:t>
      </w:r>
      <w:r>
        <w:rPr>
          <w:rFonts w:hint="eastAsia" w:ascii="仿宋_GB2312" w:hAnsi="Times New Roman" w:eastAsia="仿宋_GB2312"/>
          <w:sz w:val="32"/>
          <w:szCs w:val="32"/>
        </w:rPr>
        <w:t>保护和传承优秀文化的理念，加强本地文物保护、研究、利用，强化文物和自然遗产、非物质文化遗产系统性保护，加强民族优秀传统手工艺保护和传承。充分挖掘我旗民族文化资源，增强文化辐射力和影响力，挖掘一批非物质文化遗产项目，争取列入国家级、自治区级名录。强化文化和自然遗产保护，抢救和保护传统音乐、传统舞蹈、传统技艺、传统医药等非物质文化遗产，加强旗内重要文物的抢救性挖掘和保护，确保文物的安全。</w:t>
      </w:r>
    </w:p>
    <w:p w14:paraId="6E557001">
      <w:pPr>
        <w:spacing w:line="640" w:lineRule="exact"/>
        <w:ind w:firstLine="643" w:firstLineChars="200"/>
        <w:jc w:val="both"/>
        <w:rPr>
          <w:rFonts w:ascii="仿宋_GB2312" w:hAnsi="仿宋" w:eastAsia="仿宋_GB2312" w:cs="仿宋"/>
          <w:sz w:val="32"/>
          <w:szCs w:val="32"/>
        </w:rPr>
      </w:pPr>
      <w:r>
        <w:rPr>
          <w:rFonts w:hint="eastAsia" w:ascii="仿宋_GB2312" w:hAnsi="仿宋" w:eastAsia="仿宋_GB2312" w:cs="楷体"/>
          <w:b/>
          <w:kern w:val="2"/>
          <w:sz w:val="32"/>
          <w:szCs w:val="32"/>
        </w:rPr>
        <w:t>完善全民健身公共服务体系。</w:t>
      </w:r>
      <w:r>
        <w:rPr>
          <w:rFonts w:hint="eastAsia" w:ascii="仿宋_GB2312" w:hAnsi="仿宋" w:eastAsia="仿宋_GB2312" w:cs="仿宋"/>
          <w:sz w:val="32"/>
          <w:szCs w:val="32"/>
        </w:rPr>
        <w:t>完善旗乡村三级公共体育设施网络，统筹建设全民健身公共设施、健身步道、体育公园、体育场馆、社区多功能运动场等场地设施，确保公共体育场地设施和符合开放条件的企事业单位体育场地设施全部向社会开放，提升体育场馆设施建设和利用效率。广泛开展全民健身活动，推动全民健身与全民健康深度融合，打造“10 分钟健身圈”。推动群众体育、竞技体育、体育产业协调发展，鼓励开发社会不同人群、不同地域特点特色运动项目。促进体教融合发展，增强青少年体质，重视发展老年人体育。推动形成体医结合的疾病管理与健康服务模式，发挥科学健康促进慢性疾病预防和康复等方面的积极作用。深化足球改革。推广和发展少数民族传统体育运动项目。</w:t>
      </w:r>
    </w:p>
    <w:p w14:paraId="6E611AE0">
      <w:pPr>
        <w:spacing w:line="640" w:lineRule="exact"/>
        <w:ind w:firstLine="643" w:firstLineChars="200"/>
        <w:jc w:val="both"/>
        <w:rPr>
          <w:rFonts w:ascii="仿宋_GB2312" w:hAnsi="仿宋" w:eastAsia="仿宋_GB2312" w:cs="仿宋"/>
          <w:sz w:val="32"/>
          <w:szCs w:val="32"/>
        </w:rPr>
      </w:pPr>
      <w:r>
        <w:rPr>
          <w:rFonts w:hint="eastAsia" w:ascii="仿宋_GB2312" w:hAnsi="仿宋" w:eastAsia="仿宋_GB2312" w:cs="楷体"/>
          <w:b/>
          <w:kern w:val="2"/>
          <w:sz w:val="32"/>
          <w:szCs w:val="32"/>
        </w:rPr>
        <w:t>加快文化产业发展。</w:t>
      </w:r>
      <w:r>
        <w:rPr>
          <w:rFonts w:hint="eastAsia" w:ascii="仿宋_GB2312" w:hAnsi="仿宋" w:eastAsia="仿宋_GB2312" w:cs="仿宋"/>
          <w:sz w:val="32"/>
          <w:szCs w:val="32"/>
        </w:rPr>
        <w:t>深化文化体制改革，完善文化产业规划和政策，健全现代文化产业体系和市场体系，扩大优质文化产品供给。实施文化产业数字化战略，加快发展新型文化企业、文化业态、文化消费模式。盘活那达慕文化产业园，打造一批骨干文化企业、重点文化产业、特色文化产业和知名文化品牌。大力开发民族手工艺创意产业，推动文化与旅游融合发展。加强对外文化交流和对外宣传。</w:t>
      </w:r>
    </w:p>
    <w:p w14:paraId="12B7F0A1">
      <w:pPr>
        <w:pStyle w:val="4"/>
      </w:pPr>
      <w:bookmarkStart w:id="101" w:name="_Toc71878918"/>
      <w:r>
        <w:rPr>
          <w:rFonts w:hint="eastAsia"/>
        </w:rPr>
        <w:t xml:space="preserve">第六节 </w:t>
      </w:r>
      <w:r>
        <w:rPr>
          <w:rStyle w:val="130"/>
          <w:rFonts w:hint="eastAsia" w:hAnsi="Times New Roman" w:cs="Times New Roman"/>
          <w:b/>
          <w:bCs w:val="0"/>
        </w:rPr>
        <w:t>深化健康达茂行动</w:t>
      </w:r>
      <w:bookmarkEnd w:id="101"/>
    </w:p>
    <w:p w14:paraId="2AD8E7D5">
      <w:pPr>
        <w:spacing w:line="6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把保障人民健康放在优先发展的战略位置，坚持预防为主的方针，深入实施健康中国行动，落实好国民健康促进政策，织牢公共卫生防护网，为人民提供全方位全周期健康服务。</w:t>
      </w:r>
    </w:p>
    <w:p w14:paraId="565B366B">
      <w:pPr>
        <w:spacing w:line="640" w:lineRule="exact"/>
        <w:ind w:firstLine="643" w:firstLineChars="200"/>
        <w:rPr>
          <w:rFonts w:ascii="仿宋_GB2312" w:hAnsi="仿宋" w:eastAsia="仿宋_GB2312" w:cs="仿宋_GB2312"/>
          <w:bCs/>
          <w:sz w:val="32"/>
          <w:szCs w:val="32"/>
        </w:rPr>
      </w:pPr>
      <w:r>
        <w:rPr>
          <w:rFonts w:hint="eastAsia" w:ascii="仿宋_GB2312" w:hAnsi="仿宋" w:eastAsia="仿宋_GB2312" w:cs="楷体"/>
          <w:b/>
          <w:kern w:val="2"/>
          <w:sz w:val="32"/>
          <w:szCs w:val="32"/>
        </w:rPr>
        <w:t>提升基本医疗卫生服务水平。</w:t>
      </w:r>
      <w:r>
        <w:rPr>
          <w:rFonts w:hint="eastAsia" w:ascii="仿宋_GB2312" w:hAnsi="Times New Roman" w:eastAsia="仿宋_GB2312"/>
          <w:color w:val="000000"/>
          <w:sz w:val="32"/>
          <w:szCs w:val="32"/>
        </w:rPr>
        <w:t>深入推进医疗、医保、医药“三医”联动改革。</w:t>
      </w:r>
      <w:r>
        <w:rPr>
          <w:rFonts w:hint="eastAsia" w:ascii="仿宋_GB2312" w:hAnsi="仿宋" w:eastAsia="仿宋_GB2312" w:cs="仿宋_GB2312"/>
          <w:sz w:val="32"/>
          <w:szCs w:val="32"/>
        </w:rPr>
        <w:t>坚持基本医疗卫生事业公益属性，加快健全分级诊疗制度、药品供应保障制度、综合监管制度建设，推进政府组织药品、耗材集中采购使用和公立医院薪酬制度改革。推进医疗机构信息化建设，</w:t>
      </w:r>
      <w:r>
        <w:rPr>
          <w:rFonts w:hint="eastAsia" w:ascii="仿宋_GB2312" w:hAnsi="仿宋" w:eastAsia="仿宋_GB2312" w:cs="仿宋"/>
          <w:sz w:val="32"/>
          <w:szCs w:val="32"/>
        </w:rPr>
        <w:t>实施县级医院能力提升工程，积极引进医疗卫生人才，发展“互联网+医疗健康”，利用远程医疗等手段统筹优质医疗资源，全面提升县级医疗服务水平。</w:t>
      </w:r>
      <w:r>
        <w:rPr>
          <w:rFonts w:hint="eastAsia" w:ascii="仿宋_GB2312" w:hAnsi="仿宋" w:eastAsia="仿宋_GB2312" w:cs="仿宋_GB2312"/>
          <w:sz w:val="32"/>
          <w:szCs w:val="32"/>
        </w:rPr>
        <w:t>加快建设分级诊疗体系，逐步形成基层首诊、双向转诊、急慢分治、上下联动的分级诊疗模式。按照</w:t>
      </w:r>
      <w:r>
        <w:rPr>
          <w:rFonts w:hint="eastAsia" w:ascii="仿宋_GB2312" w:hAnsi="仿宋" w:eastAsia="仿宋_GB2312" w:cs="仿宋_GB2312"/>
          <w:bCs/>
          <w:sz w:val="32"/>
          <w:szCs w:val="32"/>
        </w:rPr>
        <w:t>旗乡一体化的原则发展医疗共同体。</w:t>
      </w:r>
      <w:r>
        <w:rPr>
          <w:rFonts w:hint="eastAsia" w:ascii="仿宋_GB2312" w:hAnsi="仿宋" w:eastAsia="仿宋_GB2312" w:cs="仿宋_GB2312"/>
          <w:sz w:val="32"/>
          <w:szCs w:val="32"/>
        </w:rPr>
        <w:t>推进基层医疗卫生机构标准化建设，</w:t>
      </w:r>
      <w:r>
        <w:rPr>
          <w:rFonts w:hint="eastAsia" w:ascii="仿宋_GB2312" w:hAnsi="仿宋" w:eastAsia="仿宋_GB2312" w:cs="仿宋_GB2312"/>
          <w:bCs/>
          <w:sz w:val="32"/>
          <w:szCs w:val="32"/>
        </w:rPr>
        <w:t>加强苏木乡镇卫生院改造升级。</w:t>
      </w:r>
      <w:r>
        <w:rPr>
          <w:rFonts w:hint="eastAsia" w:ascii="仿宋_GB2312" w:hAnsi="仿宋" w:eastAsia="仿宋_GB2312" w:cs="仿宋_GB2312"/>
          <w:sz w:val="32"/>
          <w:szCs w:val="32"/>
        </w:rPr>
        <w:t>稳定和发展</w:t>
      </w:r>
      <w:r>
        <w:rPr>
          <w:rFonts w:hint="eastAsia" w:ascii="仿宋_GB2312" w:hAnsi="仿宋" w:eastAsia="仿宋_GB2312" w:cs="仿宋_GB2312"/>
          <w:bCs/>
          <w:sz w:val="32"/>
          <w:szCs w:val="32"/>
        </w:rPr>
        <w:t>乡村医生</w:t>
      </w:r>
      <w:r>
        <w:rPr>
          <w:rFonts w:hint="eastAsia" w:ascii="仿宋_GB2312" w:hAnsi="仿宋" w:eastAsia="仿宋_GB2312" w:cs="仿宋_GB2312"/>
          <w:sz w:val="32"/>
          <w:szCs w:val="32"/>
        </w:rPr>
        <w:t>队伍，推动旗级医疗资源向苏木乡镇、嘎查村延伸。坚持中蒙西医并重和优势互补，发挥中医、蒙医药的独特优势，</w:t>
      </w:r>
      <w:r>
        <w:rPr>
          <w:rFonts w:hint="eastAsia" w:ascii="仿宋_GB2312" w:hAnsi="仿宋" w:eastAsia="仿宋_GB2312" w:cs="仿宋_GB2312"/>
          <w:bCs/>
          <w:sz w:val="32"/>
          <w:szCs w:val="32"/>
        </w:rPr>
        <w:t>促进中医、蒙医药传承创新发展。</w:t>
      </w:r>
    </w:p>
    <w:p w14:paraId="1BF1C3F5">
      <w:pPr>
        <w:spacing w:line="640" w:lineRule="exact"/>
        <w:ind w:firstLine="643" w:firstLineChars="200"/>
        <w:rPr>
          <w:rFonts w:ascii="仿宋_GB2312" w:hAnsi="仿宋_GB2312" w:eastAsia="仿宋_GB2312" w:cs="仿宋_GB2312"/>
          <w:sz w:val="32"/>
          <w:szCs w:val="32"/>
        </w:rPr>
      </w:pPr>
      <w:r>
        <w:rPr>
          <w:rFonts w:hint="eastAsia" w:ascii="仿宋_GB2312" w:hAnsi="Times New Roman" w:eastAsia="仿宋_GB2312"/>
          <w:b/>
          <w:bCs/>
          <w:sz w:val="32"/>
          <w:szCs w:val="40"/>
        </w:rPr>
        <w:t>完善疾病预防控制体系。</w:t>
      </w:r>
      <w:r>
        <w:rPr>
          <w:rFonts w:hint="eastAsia" w:ascii="仿宋_GB2312" w:hAnsi="仿宋" w:eastAsia="仿宋_GB2312" w:cs="仿宋_GB2312"/>
          <w:sz w:val="32"/>
          <w:szCs w:val="32"/>
        </w:rPr>
        <w:t>提高应对突发公共卫生事件能力，完善重大疫情防控救治体系和公共卫生体系建设，强化监测预警、风险评估、流行病学调查、检验检测、应急处置、物资保障等职能，增强早期监测预警能力、快速检测能力、应急处置能力和综合救治能力。</w:t>
      </w:r>
      <w:r>
        <w:rPr>
          <w:rFonts w:hint="eastAsia" w:ascii="仿宋_GB2312" w:hAnsi="Times New Roman" w:eastAsia="仿宋_GB2312"/>
          <w:sz w:val="32"/>
          <w:szCs w:val="40"/>
        </w:rPr>
        <w:t>建立分级分层分流的重大疫情救治和防控物资储备机制。建立稳定的公共卫生事业投入机制，加强专业人才队伍建设，提升传染病设施建设和诊疗水平，加强城乡社区基层防治能力建设。</w:t>
      </w:r>
      <w:r>
        <w:rPr>
          <w:rFonts w:hint="eastAsia" w:ascii="仿宋_GB2312" w:hAnsi="仿宋_GB2312" w:eastAsia="仿宋_GB2312" w:cs="仿宋_GB2312"/>
          <w:sz w:val="32"/>
          <w:szCs w:val="32"/>
        </w:rPr>
        <w:t>加强鼠疫、布病等地方病防治工作。</w:t>
      </w:r>
    </w:p>
    <w:p w14:paraId="4FF51080">
      <w:pPr>
        <w:spacing w:line="64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sz w:val="32"/>
          <w:szCs w:val="32"/>
        </w:rPr>
        <w:t>加强健康教育和产业发展。</w:t>
      </w:r>
      <w:r>
        <w:rPr>
          <w:rFonts w:hint="eastAsia" w:ascii="仿宋_GB2312" w:hAnsi="仿宋" w:eastAsia="仿宋_GB2312" w:cs="仿宋_GB2312"/>
          <w:sz w:val="32"/>
          <w:szCs w:val="32"/>
        </w:rPr>
        <w:t>提升健康教育、慢病管理和残疾康复服务质量，重视精神卫生和心理健康。深入开展爱国卫生运动，</w:t>
      </w:r>
      <w:r>
        <w:rPr>
          <w:rFonts w:hint="eastAsia" w:ascii="仿宋_GB2312" w:hAnsi="仿宋" w:eastAsia="仿宋_GB2312" w:cs="仿宋_GB2312"/>
          <w:bCs/>
          <w:sz w:val="32"/>
          <w:szCs w:val="32"/>
        </w:rPr>
        <w:t>以提高人民健康素养水平为核心，强化健康促进工作，普及健康素养基本知识与技能，倡导健康生活方式，增强全民健康意识，逐步提高居民健康素养水平</w:t>
      </w:r>
      <w:r>
        <w:rPr>
          <w:rFonts w:hint="eastAsia" w:ascii="仿宋_GB2312" w:hAnsi="仿宋" w:eastAsia="仿宋_GB2312" w:cs="仿宋_GB2312"/>
          <w:sz w:val="32"/>
          <w:szCs w:val="32"/>
        </w:rPr>
        <w:t>。以发展健康产业为重点，发展健康服务新业态，普及健康生活、优化健康服务，完善健康保障，发展壮大健康产业体系。</w:t>
      </w:r>
    </w:p>
    <w:p w14:paraId="5501B6FA">
      <w:pPr>
        <w:pStyle w:val="4"/>
      </w:pPr>
      <w:bookmarkStart w:id="102" w:name="_Toc28915"/>
      <w:bookmarkStart w:id="103" w:name="_Toc5328"/>
      <w:bookmarkStart w:id="104" w:name="_Toc18260"/>
      <w:bookmarkStart w:id="105" w:name="_Toc14282"/>
      <w:bookmarkStart w:id="106" w:name="_Toc5858"/>
      <w:bookmarkStart w:id="107" w:name="_Toc24515"/>
      <w:bookmarkStart w:id="108" w:name="_Toc6358"/>
      <w:bookmarkStart w:id="109" w:name="_Toc64284480"/>
      <w:bookmarkStart w:id="110" w:name="_Toc71878919"/>
      <w:bookmarkStart w:id="111" w:name="_Toc64711829"/>
      <w:bookmarkStart w:id="112" w:name="_Toc18523"/>
      <w:bookmarkStart w:id="113" w:name="_Toc14199"/>
      <w:bookmarkStart w:id="114" w:name="_Toc8271"/>
      <w:bookmarkStart w:id="115" w:name="_Toc7402"/>
      <w:bookmarkStart w:id="116" w:name="_Toc23438"/>
      <w:r>
        <w:rPr>
          <w:rFonts w:hint="eastAsia"/>
        </w:rPr>
        <w:t>第七节 积极应对人口老龄化</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6D95D11">
      <w:pPr>
        <w:widowControl w:val="0"/>
        <w:adjustRightInd/>
        <w:snapToGrid/>
        <w:spacing w:line="640" w:lineRule="exact"/>
        <w:ind w:firstLine="640" w:firstLineChars="200"/>
        <w:jc w:val="both"/>
        <w:textAlignment w:val="baseline"/>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针对老龄化人口，建立以居家养老为基础、社区养老为依托、机构养老为补充、医养结合为趋势的多层次养老服务体系。积极发展具有民族特色的健康养老产业，</w:t>
      </w:r>
      <w:r>
        <w:rPr>
          <w:rFonts w:hint="eastAsia" w:ascii="仿宋_GB2312" w:eastAsia="仿宋_GB2312"/>
          <w:sz w:val="32"/>
          <w:szCs w:val="32"/>
        </w:rPr>
        <w:t>开展康养基地建设，发展蒙中医特色的社区养老模式。</w:t>
      </w:r>
      <w:r>
        <w:rPr>
          <w:rFonts w:hint="eastAsia" w:ascii="仿宋_GB2312" w:hAnsi="仿宋_GB2312" w:eastAsia="仿宋_GB2312" w:cs="仿宋_GB2312"/>
          <w:kern w:val="2"/>
          <w:sz w:val="32"/>
          <w:szCs w:val="32"/>
        </w:rPr>
        <w:t>推进养老园区建设，健全以五保供养、互助养老为主的养老服务网络。加强面向空巢老年人、失能老人、半失能老年人提供照料服务能力建设。推进福利院、民办养老机构、幸福院建设，</w:t>
      </w:r>
      <w:r>
        <w:rPr>
          <w:rFonts w:hint="eastAsia" w:ascii="仿宋_GB2312" w:eastAsia="仿宋_GB2312"/>
          <w:sz w:val="32"/>
          <w:szCs w:val="32"/>
        </w:rPr>
        <w:t>坚持政府引导社会参与，通过公私合营PPP、特许经营、公建民营、民办公助等模式，支持社会力量举办非营利性医养结合机构。</w:t>
      </w:r>
      <w:r>
        <w:rPr>
          <w:rFonts w:hint="eastAsia" w:ascii="仿宋_GB2312" w:hAnsi="仿宋_GB2312" w:eastAsia="仿宋_GB2312" w:cs="仿宋_GB2312"/>
          <w:kern w:val="2"/>
          <w:sz w:val="32"/>
          <w:szCs w:val="32"/>
        </w:rPr>
        <w:t>推动养老事业和养老产业协同发展。</w:t>
      </w:r>
      <w:r>
        <w:rPr>
          <w:rFonts w:hint="eastAsia" w:ascii="仿宋_GB2312" w:eastAsia="仿宋_GB2312"/>
          <w:sz w:val="32"/>
          <w:szCs w:val="32"/>
        </w:rPr>
        <w:t>培育养老新业态，积极开发老龄人力资源，发展银发经济。健全基本养老服务体系，发展普惠型养老服务和互助性养老，支持家庭承担养老功能，重点发展社区健康养老服务，提高基层医疗卫生机构为居家老年人提供上门服务的能力。积极探索农村牧区养老服务新模式，妥善解决农村牧区空心化问题。</w:t>
      </w:r>
    </w:p>
    <w:p w14:paraId="5E155B88">
      <w:pPr>
        <w:pStyle w:val="4"/>
      </w:pPr>
      <w:bookmarkStart w:id="117" w:name="_Toc71878920"/>
      <w:r>
        <w:rPr>
          <w:rFonts w:hint="eastAsia"/>
        </w:rPr>
        <w:t>第八节 健全多层次社会保障体系</w:t>
      </w:r>
      <w:bookmarkEnd w:id="117"/>
    </w:p>
    <w:p w14:paraId="0DA9CBD6">
      <w:pPr>
        <w:spacing w:line="640" w:lineRule="exact"/>
        <w:ind w:firstLine="643" w:firstLineChars="200"/>
        <w:jc w:val="both"/>
        <w:rPr>
          <w:rFonts w:ascii="仿宋_GB2312" w:hAnsi="仿宋" w:eastAsia="仿宋_GB2312" w:cs="仿宋"/>
          <w:sz w:val="32"/>
          <w:szCs w:val="32"/>
        </w:rPr>
      </w:pPr>
      <w:r>
        <w:rPr>
          <w:rFonts w:hint="eastAsia" w:ascii="仿宋_GB2312" w:hAnsi="仿宋" w:eastAsia="仿宋_GB2312" w:cs="仿宋_GB2312"/>
          <w:b/>
          <w:sz w:val="32"/>
          <w:szCs w:val="32"/>
        </w:rPr>
        <w:t>完善社保体系。</w:t>
      </w:r>
      <w:r>
        <w:rPr>
          <w:rFonts w:hint="eastAsia" w:ascii="仿宋_GB2312" w:hAnsi="仿宋" w:eastAsia="仿宋_GB2312" w:cs="仿宋_GB2312"/>
          <w:sz w:val="32"/>
          <w:szCs w:val="32"/>
        </w:rPr>
        <w:t>健全覆盖全民、统筹城乡、公平统一、可持续的多层次社会保障体系。</w:t>
      </w:r>
      <w:r>
        <w:rPr>
          <w:rFonts w:hint="eastAsia" w:ascii="仿宋_GB2312" w:hAnsi="Times New Roman" w:eastAsia="仿宋_GB2312"/>
          <w:sz w:val="32"/>
          <w:szCs w:val="40"/>
        </w:rPr>
        <w:t>推进社保转移接续，建立更加便捷的社会保险转移接续机制。健全基本养老保险筹资和待遇调整机制，提升社会保险基金统筹层级，</w:t>
      </w:r>
      <w:r>
        <w:rPr>
          <w:rFonts w:hint="eastAsia" w:ascii="仿宋_GB2312" w:hAnsi="仿宋" w:eastAsia="仿宋_GB2312" w:cs="仿宋_GB2312"/>
          <w:sz w:val="32"/>
          <w:szCs w:val="32"/>
        </w:rPr>
        <w:t>积极落实城镇职工养老保险自治区统筹工作。</w:t>
      </w:r>
      <w:r>
        <w:rPr>
          <w:rFonts w:hint="eastAsia" w:ascii="仿宋_GB2312" w:hAnsi="Times New Roman" w:eastAsia="仿宋_GB2312"/>
          <w:sz w:val="32"/>
          <w:szCs w:val="40"/>
        </w:rPr>
        <w:t>构建以基本养老保险为基础、企业（职业）年金为补充，与个人储蓄性养老保险和商业养老保险相衔接的“三支柱”养老保险体系</w:t>
      </w:r>
      <w:r>
        <w:rPr>
          <w:rFonts w:hint="eastAsia" w:ascii="仿宋_GB2312" w:hAnsi="仿宋" w:eastAsia="仿宋_GB2312" w:cs="仿宋_GB2312"/>
          <w:sz w:val="32"/>
          <w:szCs w:val="32"/>
        </w:rPr>
        <w:t>。</w:t>
      </w:r>
      <w:r>
        <w:rPr>
          <w:rFonts w:hint="eastAsia" w:ascii="仿宋_GB2312" w:hAnsi="仿宋" w:eastAsia="仿宋_GB2312" w:cs="仿宋"/>
          <w:sz w:val="32"/>
          <w:szCs w:val="32"/>
        </w:rPr>
        <w:t>基本养老保险以灵活就业人员、进城务工人员、返乡人员以及新增企业单位为重点，继续扩面提标。</w:t>
      </w:r>
      <w:r>
        <w:rPr>
          <w:rFonts w:hint="eastAsia" w:ascii="仿宋_GB2312" w:hAnsi="Times New Roman" w:eastAsia="仿宋_GB2312"/>
          <w:sz w:val="32"/>
          <w:szCs w:val="40"/>
        </w:rPr>
        <w:t>落实工伤保险、失业保险基金自治区级统筹政策，进一步扩大、提高工伤保险和失业保险覆盖范围、待遇水平，更好保障参保职工基本生活。</w:t>
      </w:r>
      <w:r>
        <w:rPr>
          <w:rFonts w:hint="eastAsia" w:ascii="仿宋_GB2312" w:hAnsi="仿宋" w:eastAsia="仿宋_GB2312" w:cs="仿宋"/>
          <w:sz w:val="32"/>
          <w:szCs w:val="32"/>
        </w:rPr>
        <w:t>到2025年，全旗城乡居民养老保险参保覆盖率达98%以上。落实城镇职工调整养老金政策，提高养老保险待遇水平。完善失业保险制度，失业保险参保人数保持每年6000人以上。开展和推进社保网上经办服务，充分利用网络信息技术的便利性，为服务对象提供便利、高效、优质的服务。</w:t>
      </w:r>
    </w:p>
    <w:p w14:paraId="0CED2768">
      <w:pPr>
        <w:spacing w:line="640" w:lineRule="exact"/>
        <w:ind w:firstLine="643" w:firstLineChars="200"/>
        <w:rPr>
          <w:rFonts w:ascii="仿宋_GB2312" w:eastAsia="仿宋_GB2312"/>
          <w:sz w:val="32"/>
          <w:szCs w:val="32"/>
        </w:rPr>
      </w:pPr>
      <w:bookmarkStart w:id="118" w:name="_Toc64711820"/>
      <w:bookmarkStart w:id="119" w:name="_Toc66953876"/>
      <w:r>
        <w:rPr>
          <w:rFonts w:hint="eastAsia" w:ascii="仿宋_GB2312" w:eastAsia="仿宋_GB2312"/>
          <w:b/>
          <w:sz w:val="32"/>
          <w:szCs w:val="32"/>
        </w:rPr>
        <w:t>健全医疗保障</w:t>
      </w:r>
      <w:bookmarkEnd w:id="118"/>
      <w:r>
        <w:rPr>
          <w:rFonts w:hint="eastAsia" w:ascii="仿宋_GB2312" w:eastAsia="仿宋_GB2312"/>
          <w:b/>
          <w:sz w:val="32"/>
          <w:szCs w:val="32"/>
        </w:rPr>
        <w:t>体系。</w:t>
      </w:r>
      <w:r>
        <w:rPr>
          <w:rFonts w:hint="eastAsia" w:ascii="仿宋_GB2312" w:eastAsia="仿宋_GB2312"/>
          <w:sz w:val="32"/>
          <w:szCs w:val="32"/>
        </w:rPr>
        <w:t>深化医疗保障制度改革，基本医疗保障实现全覆盖。完善筹资和待遇调整机制，职工和城乡居民分类保障，待遇与缴费挂钩，基金分别建账、分账核算。推进医疗保障公共服务标准化、规范化，实现医疗保障“一站式服务、一窗口办理、一单式结算”。完善异地就医直接结算服务。健全重特大疾病医疗保险和救助制度，加强基本医保、大病保险、医疗救助、临时救助等制度衔接。逐步建成以基本医疗保险为主体，医疗救助为托底，补充医疗保险、商业健康保险、医疗互助共同发展的医疗保障制度体系。实现与全区医疗保障信息平台集中部署、互联互通，推进数据有序共享。到2025年，城乡居民基本医疗保险参保覆盖率达到95%以上。</w:t>
      </w:r>
      <w:bookmarkEnd w:id="119"/>
    </w:p>
    <w:p w14:paraId="6725C086">
      <w:pPr>
        <w:spacing w:line="640" w:lineRule="exact"/>
        <w:ind w:firstLine="643" w:firstLineChars="200"/>
        <w:rPr>
          <w:rFonts w:ascii="仿宋_GB2312" w:eastAsia="仿宋_GB2312"/>
          <w:sz w:val="32"/>
          <w:szCs w:val="32"/>
        </w:rPr>
      </w:pPr>
      <w:r>
        <w:rPr>
          <w:rFonts w:hint="eastAsia" w:ascii="仿宋_GB2312" w:eastAsia="仿宋_GB2312"/>
          <w:b/>
          <w:sz w:val="32"/>
          <w:szCs w:val="32"/>
        </w:rPr>
        <w:t>强化民政工作。</w:t>
      </w:r>
      <w:r>
        <w:rPr>
          <w:rFonts w:hint="eastAsia" w:ascii="仿宋_GB2312" w:eastAsia="仿宋_GB2312"/>
          <w:sz w:val="32"/>
          <w:szCs w:val="32"/>
        </w:rPr>
        <w:t>健全分层分类的社会救助体系，健全社会救助、社会福利、慈善事业、优抚安置等制度，引导更多社会力量参与社会保障和救助。加强城乡困难群众最低生活保障，逐步提高保障水平，健全低保标准动态调整和物价补贴机制，缩小城乡低保标准的差距。加大社会救助力度，逐步提高救助水平、扩大救助范围，为困难群众提供更便捷有效的服务。到2025年，城镇低保标准提高到每人每月1000元、农牧区低保标准提高到每人每年8000元。农牧区特困人员集中和分散供养标准全部提高到每人每年15000元以上，城镇“三无”人员供养标准提高到每人每月1800元以上。推进救助管理站建设，新建1所儿童福利院。到2025年，“特困人员”集中供养率达到60%以上。全面落实优抚政策。健全优抚对象抚恤补助标准自然增长机制，保证抚恤补助对象的补助标准随着当地居民人均生活水平提高而同步提高。创建双拥模范城活动，促进军政、军民融合发展，修建烈士园和退伍军人公墓。</w:t>
      </w:r>
    </w:p>
    <w:p w14:paraId="70E8B1E2">
      <w:pPr>
        <w:spacing w:line="640" w:lineRule="exact"/>
        <w:ind w:firstLine="643" w:firstLineChars="200"/>
        <w:rPr>
          <w:rFonts w:ascii="仿宋_GB2312" w:eastAsia="仿宋_GB2312"/>
          <w:sz w:val="32"/>
          <w:szCs w:val="32"/>
        </w:rPr>
      </w:pPr>
      <w:r>
        <w:rPr>
          <w:rFonts w:hint="eastAsia" w:ascii="仿宋_GB2312" w:eastAsia="仿宋_GB2312"/>
          <w:b/>
          <w:sz w:val="32"/>
          <w:szCs w:val="32"/>
        </w:rPr>
        <w:t>加强红十字会和残联工作。</w:t>
      </w:r>
      <w:r>
        <w:rPr>
          <w:rFonts w:hint="eastAsia" w:ascii="仿宋_GB2312" w:eastAsia="仿宋_GB2312"/>
          <w:sz w:val="32"/>
          <w:szCs w:val="32"/>
        </w:rPr>
        <w:t>发挥红十字会对社会各类困难群体的救助作用。通过募集资金和物资，积极开展大病救助、博爱援建、扶贫帮困、捐资助学等救助工作。发展残疾人事业，开展和促进残疾人康复、教育、就业、维权、社会服务和社会保障体系等工作，积极改善残疾人生活条件，全面提高残疾人生活质量。</w:t>
      </w:r>
    </w:p>
    <w:p w14:paraId="2CE0C020">
      <w:pPr>
        <w:spacing w:line="640" w:lineRule="exact"/>
        <w:ind w:firstLine="643" w:firstLineChars="200"/>
        <w:rPr>
          <w:rFonts w:ascii="仿宋_GB2312" w:eastAsia="仿宋_GB2312"/>
          <w:sz w:val="32"/>
          <w:szCs w:val="32"/>
        </w:rPr>
      </w:pPr>
      <w:r>
        <w:rPr>
          <w:rFonts w:hint="eastAsia" w:ascii="仿宋_GB2312" w:eastAsia="仿宋_GB2312"/>
          <w:b/>
          <w:sz w:val="32"/>
          <w:szCs w:val="32"/>
        </w:rPr>
        <w:t>保障妇女儿童合法权益。</w:t>
      </w:r>
      <w:r>
        <w:rPr>
          <w:rFonts w:hint="eastAsia" w:ascii="仿宋_GB2312" w:eastAsia="仿宋_GB2312"/>
          <w:sz w:val="32"/>
          <w:szCs w:val="32"/>
        </w:rPr>
        <w:t>严厉打击拐卖妇女儿童、暴力侵害妇女等违法犯罪行为，消除对妇女的歧视和偏见，改善妇女发展环境。加大儿童福利院等建设力度、完善帮扶孤儿社会福利制度，健全完善适度普惠型儿童福利制度，有效保障各类困境儿童基本生活，以政府购买服务方式积极开展农村牧区留守儿童、困境儿童关爱服务试点工作。加强学校及周边社会治安综合治理，严厉打击危害未成年人身心健康的违法犯罪行为。加强未成年人心理健康引导，有效预防未成年人犯罪，组织青少年更多参与志愿服务和社会公益活动。进一步推动坚持男女平等基本国策，促进妇女全面发展，保障儿童优先发展，加强家庭建设工作。</w:t>
      </w:r>
    </w:p>
    <w:p w14:paraId="1125BD91"/>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18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trPr>
        <w:tc>
          <w:tcPr>
            <w:tcW w:w="8522" w:type="dxa"/>
          </w:tcPr>
          <w:p w14:paraId="262AFEB7">
            <w:pPr>
              <w:pStyle w:val="135"/>
              <w:spacing w:before="240"/>
              <w:ind w:firstLine="482"/>
              <w:jc w:val="center"/>
              <w:rPr>
                <w:b/>
                <w:color w:val="auto"/>
              </w:rPr>
            </w:pPr>
            <w:r>
              <w:rPr>
                <w:rFonts w:hint="eastAsia"/>
                <w:b/>
                <w:color w:val="auto"/>
              </w:rPr>
              <w:t>专栏25  民生建设项目</w:t>
            </w:r>
          </w:p>
          <w:p w14:paraId="6B360DBE">
            <w:pPr>
              <w:pStyle w:val="135"/>
              <w:rPr>
                <w:color w:val="auto"/>
              </w:rPr>
            </w:pPr>
            <w:r>
              <w:rPr>
                <w:rFonts w:hint="eastAsia"/>
                <w:color w:val="auto"/>
              </w:rPr>
              <w:t>中小学幼儿园操场改造工程、中小学幼儿园教学信息化改造工程、体育室建设项目、学校拓展训练场地及设备购置项目、校园安防建设项目、基层广播电视转播台基础设施建设项目、融媒体公共数字资源制作采集与加工整理系统建设项目、固边微波应急改扩建工程、养老院、敬老院改扩建项目、儿童福利院建设项目、社区日间照料中心建设项目、救助管理站建设项目、卫生应急物资体系建设项目、传染病楼建设项目、农村牧区转移就业服务平台建设项目、基层就业和社会保障服务中心建设项目、文化创意中心建设项目、室内游泳馆建设项目等。</w:t>
            </w:r>
          </w:p>
        </w:tc>
      </w:tr>
    </w:tbl>
    <w:p w14:paraId="77B3B71C">
      <w:pPr>
        <w:spacing w:line="640" w:lineRule="exact"/>
        <w:rPr>
          <w:sz w:val="36"/>
          <w:szCs w:val="36"/>
          <w:lang w:val="zh-CN"/>
        </w:rPr>
      </w:pPr>
    </w:p>
    <w:p w14:paraId="03A34E3B">
      <w:pPr>
        <w:pStyle w:val="3"/>
      </w:pPr>
      <w:bookmarkStart w:id="120" w:name="_Toc71878921"/>
      <w:r>
        <w:rPr>
          <w:rFonts w:hint="eastAsia"/>
        </w:rPr>
        <w:t>第十六章 安全发展 提升社会治理和民主法治水平</w:t>
      </w:r>
      <w:bookmarkEnd w:id="120"/>
    </w:p>
    <w:p w14:paraId="4A657DEA">
      <w:pPr>
        <w:autoSpaceDE w:val="0"/>
        <w:autoSpaceDN w:val="0"/>
        <w:spacing w:before="240" w:line="640"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安全是发展的前提，发展是安全的保障。必须以人民安全为宗旨、政治安全为根本、经济安全为基础、社会安全为保障，把安全发展贯穿发展各领域和全过程，防范和化解影响现代化进程的各种风险，筑牢祖国北疆安全稳定屏障。</w:t>
      </w:r>
    </w:p>
    <w:p w14:paraId="4ED775A8">
      <w:pPr>
        <w:pStyle w:val="4"/>
        <w:rPr>
          <w:lang w:val="mn-Mong-CN"/>
        </w:rPr>
      </w:pPr>
      <w:bookmarkStart w:id="121" w:name="_Toc64711865"/>
      <w:bookmarkStart w:id="122" w:name="_Toc71878922"/>
      <w:r>
        <w:rPr>
          <w:rFonts w:hint="eastAsia"/>
          <w:lang w:val="mn-Mong-CN"/>
        </w:rPr>
        <w:t>第一节 扎实推进政治安全</w:t>
      </w:r>
      <w:bookmarkEnd w:id="121"/>
      <w:bookmarkEnd w:id="122"/>
    </w:p>
    <w:p w14:paraId="4B89EDA5">
      <w:pPr>
        <w:spacing w:line="640" w:lineRule="exact"/>
        <w:ind w:firstLine="640" w:firstLineChars="200"/>
        <w:rPr>
          <w:rFonts w:ascii="仿宋_GB2312" w:eastAsia="仿宋_GB2312"/>
          <w:sz w:val="36"/>
          <w:szCs w:val="36"/>
          <w:lang w:val="zh-CN"/>
        </w:rPr>
      </w:pPr>
      <w:r>
        <w:rPr>
          <w:rFonts w:hint="eastAsia" w:ascii="仿宋_GB2312" w:hAnsi="楷体" w:eastAsia="仿宋_GB2312" w:cstheme="majorBidi"/>
          <w:bCs/>
          <w:sz w:val="32"/>
          <w:szCs w:val="32"/>
          <w:lang w:bidi="mn-Mong-CN"/>
        </w:rPr>
        <w:t>坚定维护国家政权安全、制度安全、意识形态安全和教育文化安全，全面加强网络安全保障体系和能力建设，严密防范和严厉打击境内外敌对势力渗透破坏分裂活动。严格落实意识形态工作责任制，正确处置涉及我旗网络舆情。落实党委（党组）国家安全责任制，完善国家安全组织体系和工作机制，健全国家安全审查和监管制度，加强国家安全执法。加强情报指挥实战平台建设，提高风险监测预警防范和危机管控能力。加强国家安全宣传教育，增强全民国家安全意识，巩固国家安全人民防线。加强边境安全管理，构建党政军警民“五位一体”的管边控边体系。</w:t>
      </w:r>
    </w:p>
    <w:p w14:paraId="7F268C83">
      <w:pPr>
        <w:pStyle w:val="4"/>
        <w:rPr>
          <w:lang w:val="zh-CN"/>
        </w:rPr>
      </w:pPr>
      <w:bookmarkStart w:id="123" w:name="_Toc71878923"/>
      <w:r>
        <w:rPr>
          <w:rFonts w:hint="eastAsia"/>
          <w:lang w:val="zh-CN"/>
        </w:rPr>
        <w:t xml:space="preserve">第二节 </w:t>
      </w:r>
      <w:r>
        <w:rPr>
          <w:rFonts w:hint="eastAsia"/>
        </w:rPr>
        <w:t>确保经济安全</w:t>
      </w:r>
      <w:bookmarkEnd w:id="123"/>
    </w:p>
    <w:p w14:paraId="26F655F4">
      <w:pPr>
        <w:autoSpaceDE w:val="0"/>
        <w:autoSpaceDN w:val="0"/>
        <w:spacing w:line="640"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建立健全经济安全体系。加强经济安全风险预警、防控机制和能力建设，实现关键领域安全可控。保障能源和战略性矿产资源安全，推进能源供应保障升级，完善能源产供储销体系。确保重要农畜产品供给安全，实施产业竞争力调查和评价工程，增强产业体系抗冲击能力。加强产业链供应链安全建设，搭建应急供应链综合保障平合。维护重要基础设施安全。强化对外开放安全保障。从严实施生态环境风险防控措施，系统构建全过程、多层级生态环境风险防范体系，促进生态系统良性循环。</w:t>
      </w:r>
    </w:p>
    <w:p w14:paraId="3042FAC5">
      <w:pPr>
        <w:pStyle w:val="4"/>
      </w:pPr>
      <w:bookmarkStart w:id="124" w:name="_Toc71878924"/>
      <w:r>
        <w:rPr>
          <w:rFonts w:hint="eastAsia"/>
          <w:lang w:val="zh-CN"/>
        </w:rPr>
        <w:t xml:space="preserve">第三节 </w:t>
      </w:r>
      <w:r>
        <w:rPr>
          <w:rFonts w:hint="eastAsia"/>
        </w:rPr>
        <w:t>保障人民生命财产安全</w:t>
      </w:r>
      <w:bookmarkEnd w:id="124"/>
    </w:p>
    <w:p w14:paraId="0DB9A9CB">
      <w:pPr>
        <w:autoSpaceDE w:val="0"/>
        <w:autoSpaceDN w:val="0"/>
        <w:spacing w:line="640"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坚持人民生命安全第一，人民至上、生命至上，把保护人民生命安全摆在首位，全面提高公共安全保障能力。加强隐患排查治理和风险防控，加强监管执法和安全服务，有效遏制重特大安全事故。强化生物安全保护，提高关系人民健康产品和服务的安全保障水平。推进自然灾害防治体系建设，加强各种火灾、洪涝干旱、地震等自然灾害防治，加快实施自然灾害防御重大工程。推进应急管理、应急队伍、应急协作和风险防控、物资保障、科技支撑体系建设，提高防灾减灾抗灾救灾能力。</w:t>
      </w:r>
    </w:p>
    <w:p w14:paraId="2559DEE4">
      <w:pPr>
        <w:pStyle w:val="4"/>
      </w:pPr>
      <w:bookmarkStart w:id="125" w:name="_Toc71878925"/>
      <w:r>
        <w:rPr>
          <w:rFonts w:hint="eastAsia"/>
        </w:rPr>
        <w:t>第四节 建立完善国防动员体系</w:t>
      </w:r>
      <w:bookmarkEnd w:id="125"/>
    </w:p>
    <w:p w14:paraId="54A5272C">
      <w:pPr>
        <w:spacing w:line="640" w:lineRule="exact"/>
        <w:ind w:firstLine="640" w:firstLineChars="200"/>
        <w:rPr>
          <w:rFonts w:ascii="仿宋_GB2312" w:eastAsia="仿宋_GB2312"/>
          <w:sz w:val="36"/>
          <w:szCs w:val="36"/>
          <w:lang w:val="zh-CN"/>
        </w:rPr>
      </w:pPr>
      <w:r>
        <w:rPr>
          <w:rFonts w:hint="eastAsia" w:ascii="仿宋_GB2312" w:hAnsi="微软雅黑" w:eastAsia="仿宋_GB2312" w:cs="宋体"/>
          <w:sz w:val="32"/>
          <w:szCs w:val="32"/>
        </w:rPr>
        <w:t>加强国防动员，</w:t>
      </w:r>
      <w:r>
        <w:rPr>
          <w:rFonts w:hint="eastAsia" w:ascii="仿宋_GB2312" w:hAnsi="楷体" w:eastAsia="仿宋_GB2312" w:cstheme="majorBidi"/>
          <w:bCs/>
          <w:sz w:val="32"/>
          <w:szCs w:val="32"/>
          <w:lang w:bidi="mn-Mong-CN"/>
        </w:rPr>
        <w:t>完善国防动员体系，强化国防教育和后备力量建设，</w:t>
      </w:r>
      <w:r>
        <w:rPr>
          <w:rFonts w:hint="eastAsia" w:ascii="仿宋_GB2312" w:hAnsi="微软雅黑" w:eastAsia="仿宋_GB2312" w:cs="宋体"/>
          <w:sz w:val="32"/>
          <w:szCs w:val="32"/>
        </w:rPr>
        <w:t>建设民兵训练基地。深化军民双拥共建，巩固军政军民团结。</w:t>
      </w:r>
      <w:r>
        <w:rPr>
          <w:rFonts w:hint="eastAsia" w:ascii="仿宋_GB2312" w:hAnsi="楷体" w:eastAsia="仿宋_GB2312" w:cstheme="majorBidi"/>
          <w:bCs/>
          <w:sz w:val="32"/>
          <w:szCs w:val="32"/>
          <w:lang w:bidi="mn-Mong-CN"/>
        </w:rPr>
        <w:t>深入落实军民融合发展战略，完善组织管理、工作运行和政策制度体系，</w:t>
      </w:r>
      <w:r>
        <w:rPr>
          <w:rFonts w:hint="eastAsia" w:ascii="仿宋_GB2312" w:hAnsi="微软雅黑" w:eastAsia="仿宋_GB2312" w:cs="宋体"/>
          <w:sz w:val="32"/>
          <w:szCs w:val="32"/>
        </w:rPr>
        <w:t>加强与军工企业、军事科研院所战略合作，大力发展军民融合项目，</w:t>
      </w:r>
      <w:r>
        <w:rPr>
          <w:rFonts w:hint="eastAsia" w:ascii="仿宋_GB2312" w:hAnsi="楷体" w:eastAsia="仿宋_GB2312" w:cstheme="majorBidi"/>
          <w:bCs/>
          <w:sz w:val="32"/>
          <w:szCs w:val="32"/>
          <w:lang w:bidi="mn-Mong-CN"/>
        </w:rPr>
        <w:t>形成全要素、多领域、高效益的军民深度融合发展格局。</w:t>
      </w:r>
      <w:r>
        <w:rPr>
          <w:rFonts w:hint="eastAsia" w:ascii="仿宋_GB2312" w:hAnsi="微软雅黑" w:eastAsia="仿宋_GB2312" w:cs="宋体"/>
          <w:sz w:val="32"/>
          <w:szCs w:val="32"/>
        </w:rPr>
        <w:t>提高重要人防设施军民兼用水平，统筹推进人民防空战备建设和改革发展，健全完善人民防空工程规划建设体制机制，提高重要人民防空工程设施军民兼用水平，不断提升“战时防空、平时服务、应急支援”能力水平。</w:t>
      </w:r>
    </w:p>
    <w:p w14:paraId="02C76751">
      <w:pPr>
        <w:pStyle w:val="4"/>
      </w:pPr>
      <w:bookmarkStart w:id="126" w:name="_Toc71878926"/>
      <w:r>
        <w:rPr>
          <w:rFonts w:hint="eastAsia"/>
        </w:rPr>
        <w:t>第五节 加强安全生产管理</w:t>
      </w:r>
      <w:bookmarkEnd w:id="126"/>
    </w:p>
    <w:p w14:paraId="1D7DAA51">
      <w:pPr>
        <w:shd w:val="clear" w:color="auto" w:fill="FFFFFF"/>
        <w:adjustRightInd/>
        <w:snapToGrid/>
        <w:spacing w:line="640" w:lineRule="exact"/>
        <w:ind w:firstLine="640" w:firstLineChars="200"/>
        <w:rPr>
          <w:rFonts w:ascii="仿宋_GB2312" w:hAnsi="微软雅黑" w:eastAsia="仿宋_GB2312" w:cs="宋体"/>
          <w:sz w:val="32"/>
          <w:szCs w:val="32"/>
        </w:rPr>
      </w:pPr>
      <w:r>
        <w:rPr>
          <w:rFonts w:hint="eastAsia" w:ascii="仿宋_GB2312" w:hAnsi="微软雅黑" w:eastAsia="仿宋_GB2312" w:cs="宋体"/>
          <w:sz w:val="32"/>
          <w:szCs w:val="32"/>
        </w:rPr>
        <w:t>健全安全监管体系。建立责任全覆盖、管理全方位、监管全过程的安全生产综合治理体系，建立安全生产动态监控、隐患排查治理和应急救援指挥等系统，建立健全安全生产警示和预警制度。坚持预防为主、防灾减灾相结合，深入开展安全生产管理，切实保护人民群众生命财产安全，推进自然灾害防治体系和防治能力现代化。完善和落实安全生产责任和管理制度，实行党政同责、一岗双责、失职追责，强化预防治本，健全安全评审制度，完善预警应急机制。全面落实企业安全生产主体责任和行业主管部门安全监管主体责任。全面推进安全生产质量标准化管理，建立安全生产诚信体系，深化非煤矿山、危险化学品、特种设备等重点行业在生产、仓储、运输、使用等各环节的专项整治。加大监管执法力度，及时排查化解安全隐患，坚决防止重特大事故发生。加大安全生产投入力度，实行安全生产配套设施与新建工程项目同步设计、同步建设、同步运营。</w:t>
      </w:r>
    </w:p>
    <w:p w14:paraId="5090E5C2">
      <w:pPr>
        <w:pStyle w:val="2"/>
        <w:spacing w:after="0" w:line="640" w:lineRule="exact"/>
        <w:ind w:firstLine="640"/>
      </w:pPr>
      <w:r>
        <w:rPr>
          <w:rFonts w:hint="eastAsia" w:ascii="仿宋_GB2312" w:eastAsia="仿宋_GB2312"/>
        </w:rPr>
        <w:t>大力发展消防救援事业。</w:t>
      </w:r>
      <w:r>
        <w:rPr>
          <w:rFonts w:hint="eastAsia" w:ascii="仿宋_GB2312" w:hAnsi="仿宋_GB2312" w:eastAsia="仿宋_GB2312" w:cs="仿宋_GB2312"/>
          <w:szCs w:val="32"/>
        </w:rPr>
        <w:t>全面落实消防安全责任制，提高抗御火灾风险水平，加强公共消防基础设施建设，提升消防综合应急救援能力，以建设立体化社会火灾防控体系和提高灭火救援专业化水平为重点,不断</w:t>
      </w:r>
      <w:r>
        <w:rPr>
          <w:rFonts w:hint="eastAsia" w:ascii="仿宋_GB2312" w:hAnsi="仿宋_GB2312" w:eastAsia="仿宋_GB2312" w:cs="仿宋_GB2312"/>
          <w:snapToGrid w:val="0"/>
          <w:szCs w:val="32"/>
        </w:rPr>
        <w:t>营造良好的消防安全环境。</w:t>
      </w:r>
      <w:r>
        <w:rPr>
          <w:rFonts w:hint="eastAsia" w:ascii="仿宋_GB2312" w:hAnsi="仿宋_GB2312" w:eastAsia="仿宋_GB2312" w:cs="仿宋_GB2312"/>
          <w:szCs w:val="32"/>
        </w:rPr>
        <w:t>到2025年,基本实现消防救援工作与全面建成社会主义现代化的总体要求相协调,消防安全责任体系更加完善,消防法律法规体系更加完备，全民消防安全素质普遍提高,城乡公共消防基础设施建设明显提升,社会火灾防控和综合应急救援能力显著增强。</w:t>
      </w:r>
    </w:p>
    <w:p w14:paraId="57D286D5">
      <w:pPr>
        <w:pStyle w:val="4"/>
      </w:pPr>
      <w:bookmarkStart w:id="127" w:name="_Toc71878927"/>
      <w:r>
        <w:rPr>
          <w:rFonts w:hint="eastAsia"/>
        </w:rPr>
        <w:t xml:space="preserve">第六节 </w:t>
      </w:r>
      <w:r>
        <w:t>提高食品药品安全保障水平</w:t>
      </w:r>
      <w:bookmarkEnd w:id="127"/>
    </w:p>
    <w:p w14:paraId="05A6E37D">
      <w:pPr>
        <w:spacing w:line="640" w:lineRule="exact"/>
        <w:ind w:firstLine="640" w:firstLineChars="200"/>
        <w:rPr>
          <w:rFonts w:ascii="仿宋_GB2312" w:eastAsia="仿宋_GB2312"/>
          <w:sz w:val="32"/>
          <w:szCs w:val="32"/>
        </w:rPr>
      </w:pPr>
      <w:r>
        <w:rPr>
          <w:rFonts w:hint="eastAsia" w:ascii="仿宋_GB2312" w:eastAsia="仿宋_GB2312"/>
          <w:sz w:val="32"/>
          <w:szCs w:val="32"/>
        </w:rPr>
        <w:t>深入落实食品药品安全监管法律法规，按照食品药品安全标准体系和监管要求，健全“双随机、一公开”食品药品市场监管机制，建立完善旗、苏木乡镇食品药品监管机构。强化源头治理和全过程全链条监管，健全追溯机制，实现从农田到餐桌，从药品厂家到批发商到医院、药店全过程全覆盖闭环式监管，防范重特大食品药品安全事故发生。加大食品药品安全行政执法和信息化建设力度，实施科学监管、智慧监管。</w:t>
      </w:r>
    </w:p>
    <w:p w14:paraId="4C2C0CD0">
      <w:pPr>
        <w:pStyle w:val="4"/>
      </w:pPr>
      <w:bookmarkStart w:id="128" w:name="_Toc71878928"/>
      <w:r>
        <w:rPr>
          <w:rFonts w:hint="eastAsia"/>
        </w:rPr>
        <w:t>第七节 加强和创新社会治理</w:t>
      </w:r>
      <w:bookmarkEnd w:id="128"/>
    </w:p>
    <w:p w14:paraId="53B9C29C">
      <w:pPr>
        <w:widowControl w:val="0"/>
        <w:pBdr>
          <w:bottom w:val="single" w:color="FFFFFF" w:sz="4" w:space="31"/>
        </w:pBdr>
        <w:tabs>
          <w:tab w:val="left" w:pos="8640"/>
        </w:tabs>
        <w:spacing w:line="64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完善社会治理体系，健全党组织领导的自治、法治、德治相结合的城乡基层治理机制，</w:t>
      </w:r>
      <w:r>
        <w:rPr>
          <w:rFonts w:hint="eastAsia" w:ascii="仿宋_GB2312" w:hAnsi="仿宋" w:eastAsia="仿宋_GB2312"/>
          <w:sz w:val="32"/>
          <w:szCs w:val="32"/>
          <w:lang w:val="zh-CN"/>
        </w:rPr>
        <w:t>建设人人有责、人人尽责、人人享有的社会治理共同体。完善基层民主协商制度，实现政府治理同社会调节、居民自治良性互动。推动社会治理重心向基层下移，向基层放权赋能，加强城乡社区治理和服务体系建设，减轻基层特别是嘎查村级组织负担，构建网格化管理、精细化服务、信息化支撑、开放共享的基层管理服务平台。</w:t>
      </w:r>
    </w:p>
    <w:p w14:paraId="4F8D5104">
      <w:pPr>
        <w:widowControl w:val="0"/>
        <w:pBdr>
          <w:bottom w:val="single" w:color="FFFFFF" w:sz="4" w:space="31"/>
        </w:pBdr>
        <w:tabs>
          <w:tab w:val="left" w:pos="8640"/>
        </w:tabs>
        <w:spacing w:line="640" w:lineRule="exact"/>
        <w:ind w:firstLine="643" w:firstLineChars="200"/>
        <w:jc w:val="both"/>
        <w:rPr>
          <w:rFonts w:ascii="仿宋_GB2312" w:hAnsi="仿宋" w:eastAsia="仿宋_GB2312" w:cs="仿宋_GB2312"/>
          <w:sz w:val="32"/>
          <w:szCs w:val="32"/>
        </w:rPr>
      </w:pPr>
      <w:r>
        <w:rPr>
          <w:rFonts w:hint="eastAsia" w:ascii="仿宋_GB2312" w:hAnsi="仿宋" w:eastAsia="仿宋_GB2312" w:cs="楷体"/>
          <w:b/>
          <w:kern w:val="2"/>
          <w:sz w:val="32"/>
          <w:szCs w:val="32"/>
        </w:rPr>
        <w:t>增强社会治理能力建设。</w:t>
      </w:r>
      <w:r>
        <w:rPr>
          <w:rFonts w:hint="eastAsia" w:ascii="仿宋_GB2312" w:hAnsi="仿宋" w:eastAsia="仿宋_GB2312" w:cs="仿宋"/>
          <w:sz w:val="32"/>
          <w:szCs w:val="32"/>
        </w:rPr>
        <w:t>强化苏木乡镇（街道）社会治理和公共服务职能，加强基层社会治理队伍建设，建设旗、苏木乡镇、嘎查村网格三级治理体系。</w:t>
      </w:r>
      <w:r>
        <w:rPr>
          <w:rFonts w:hint="eastAsia" w:ascii="仿宋_GB2312" w:hAnsi="仿宋" w:eastAsia="仿宋_GB2312"/>
          <w:sz w:val="32"/>
          <w:szCs w:val="32"/>
        </w:rPr>
        <w:t>制定实施推进城乡社区治理行动计划，编制城乡社区服务体系建设规划，制定增强嘎查村级综合服务能力政策，不断提升社区服务水平。</w:t>
      </w:r>
      <w:r>
        <w:rPr>
          <w:rFonts w:hint="eastAsia" w:ascii="仿宋_GB2312" w:hAnsi="仿宋" w:eastAsia="仿宋_GB2312" w:cs="仿宋"/>
          <w:sz w:val="32"/>
          <w:szCs w:val="32"/>
        </w:rPr>
        <w:t>加强农村牧区基层党组织建设，实施农村牧区带头人队伍整体优化提升行动，推行嘎查村级小微权力清单制度，严厉整治惠农补贴、集体资产管理、土地草场征收等领域侵害农牧民利益的不正之风和腐败问题。健全和创新嘎查村党组织领导的充满活力的村民自治机制，实行嘎查村党组织书记、村委会主任“一肩挑”制度，发挥群团组织和社会组织在社会治理中的作用，畅通和规范市场主体、新社会阶层、社会工作者和志愿者等参与社会治理的途径。畅通公众参与社会治理的渠道，引导公众依法有序参与社会公共事务。</w:t>
      </w:r>
      <w:r>
        <w:rPr>
          <w:rFonts w:hint="eastAsia" w:ascii="仿宋_GB2312" w:hAnsi="仿宋" w:eastAsia="仿宋_GB2312"/>
          <w:sz w:val="32"/>
          <w:szCs w:val="32"/>
        </w:rPr>
        <w:t>制定城乡社区协商规程，建立城乡社区协商事项目录，促进基层协商广泛多层次制度化发展。</w:t>
      </w:r>
    </w:p>
    <w:p w14:paraId="6433A3B0">
      <w:pPr>
        <w:widowControl w:val="0"/>
        <w:pBdr>
          <w:bottom w:val="single" w:color="FFFFFF" w:sz="4" w:space="31"/>
        </w:pBdr>
        <w:tabs>
          <w:tab w:val="left" w:pos="8640"/>
        </w:tabs>
        <w:spacing w:line="640" w:lineRule="exact"/>
        <w:ind w:firstLine="643" w:firstLineChars="200"/>
        <w:jc w:val="both"/>
        <w:rPr>
          <w:rFonts w:ascii="仿宋_GB2312" w:hAnsi="仿宋" w:eastAsia="仿宋_GB2312" w:cs="仿宋_GB2312"/>
          <w:sz w:val="32"/>
          <w:szCs w:val="32"/>
        </w:rPr>
      </w:pPr>
      <w:r>
        <w:rPr>
          <w:rFonts w:hint="eastAsia" w:ascii="仿宋_GB2312" w:hAnsi="仿宋" w:eastAsia="仿宋_GB2312" w:cs="楷体"/>
          <w:b/>
          <w:kern w:val="2"/>
          <w:sz w:val="32"/>
          <w:szCs w:val="32"/>
        </w:rPr>
        <w:t>维护社会稳定和安全。</w:t>
      </w:r>
      <w:r>
        <w:rPr>
          <w:rFonts w:hint="eastAsia" w:ascii="仿宋_GB2312" w:hAnsi="仿宋" w:eastAsia="仿宋_GB2312" w:cs="仿宋"/>
          <w:sz w:val="32"/>
          <w:szCs w:val="32"/>
        </w:rPr>
        <w:t>坚持和发展新时代“枫桥经验”，深化“24小时警局”建设，健全正确处理新形势下人民内部矛盾的有效机制，畅通和规范群众诉求表达、利益协调、权益保障通道。加强信访工作，完善领导干部包联和接访下访制度，集中治理重复信访，化解信访积案，推动信访从“网上”向“掌上”延伸，着力打造阳光信访、责任信访和法治信访。健全完善各类调解联建联动联治联调工作体系，构建源头防控、排查梳理、纠纷化解、应急处置的社会矛盾综合治理和多元化解机制。坚持专群结合、群防群治，打、防、管、控、建并举，加强“块”“格”单元防控，充分发挥视频监控作用，打造以“人、地、事、物、组织、网络”六大治安要素管控为核心，集情报指挥、治安防控、合成作战、执法监管、新闻舆情于一体的立体化、智能化、法治化、专业化社会治安防控体系。健全扫黑除恶常态化机制，坚决依法打击各类违法犯罪活动，保持社会和谐稳定，建设更高水平平安达茂。</w:t>
      </w:r>
    </w:p>
    <w:p w14:paraId="75DD49E3">
      <w:pPr>
        <w:widowControl w:val="0"/>
        <w:pBdr>
          <w:bottom w:val="single" w:color="FFFFFF" w:sz="4" w:space="31"/>
        </w:pBdr>
        <w:tabs>
          <w:tab w:val="left" w:pos="8640"/>
        </w:tabs>
        <w:spacing w:line="640" w:lineRule="exact"/>
        <w:ind w:firstLine="643" w:firstLineChars="200"/>
        <w:jc w:val="both"/>
        <w:rPr>
          <w:rFonts w:ascii="仿宋_GB2312" w:hAnsi="仿宋" w:eastAsia="仿宋_GB2312" w:cs="仿宋_GB2312"/>
          <w:sz w:val="32"/>
          <w:szCs w:val="32"/>
        </w:rPr>
      </w:pPr>
      <w:r>
        <w:rPr>
          <w:rFonts w:hint="eastAsia" w:ascii="仿宋_GB2312" w:hAnsi="仿宋" w:eastAsia="仿宋_GB2312" w:cs="楷体"/>
          <w:b/>
          <w:kern w:val="2"/>
          <w:sz w:val="32"/>
          <w:szCs w:val="32"/>
          <w:lang w:val="zh-CN"/>
        </w:rPr>
        <w:t>扎实推进普法工作。</w:t>
      </w:r>
      <w:r>
        <w:rPr>
          <w:rFonts w:hint="eastAsia" w:ascii="仿宋_GB2312" w:hAnsi="仿宋" w:eastAsia="仿宋_GB2312" w:cs="仿宋_GB2312"/>
          <w:sz w:val="32"/>
          <w:szCs w:val="32"/>
        </w:rPr>
        <w:t>加强法治宣传教育，健全普法工作体系，提高领导干部法治思维能力，增强执法司法人员法治意识，</w:t>
      </w:r>
      <w:r>
        <w:rPr>
          <w:rFonts w:hint="eastAsia" w:ascii="仿宋_GB2312" w:hAnsi="仿宋" w:eastAsia="仿宋_GB2312"/>
          <w:sz w:val="32"/>
          <w:szCs w:val="32"/>
        </w:rPr>
        <w:t>弘扬社会主义法治精神，增强全社会特别是公职人员尊法学法守法用法观念，在全社会形成良好法治氛围和法治习惯。</w:t>
      </w:r>
      <w:r>
        <w:rPr>
          <w:rFonts w:hint="eastAsia" w:ascii="仿宋_GB2312" w:hAnsi="仿宋" w:eastAsia="仿宋_GB2312" w:cs="仿宋"/>
          <w:sz w:val="32"/>
          <w:szCs w:val="32"/>
        </w:rPr>
        <w:t>扩大普法共治覆盖面。加强少数民族聚居区法治宣传教育，配齐配强双语调解员队伍。</w:t>
      </w:r>
      <w:r>
        <w:rPr>
          <w:rFonts w:hint="eastAsia" w:ascii="仿宋_GB2312" w:hAnsi="仿宋" w:eastAsia="仿宋_GB2312" w:cs="仿宋_GB2312"/>
          <w:sz w:val="32"/>
          <w:szCs w:val="32"/>
        </w:rPr>
        <w:t>健全公民和组织守法信用记录，建立守法诚信褒奖机制和违法失信行为惩戒机制。</w:t>
      </w:r>
      <w:r>
        <w:rPr>
          <w:rFonts w:hint="eastAsia" w:ascii="仿宋_GB2312" w:hAnsi="仿宋" w:eastAsia="仿宋_GB2312" w:cs="仿宋"/>
          <w:sz w:val="32"/>
          <w:szCs w:val="32"/>
        </w:rPr>
        <w:t>加强行政执法管理，健全司法权力监督制约机制，不断提升司法效能和司法公信力。推进多层次多领域依法治理，提高社会治理法治化水平，深入开展法治创建活动。</w:t>
      </w:r>
      <w:r>
        <w:rPr>
          <w:rFonts w:hint="eastAsia" w:ascii="仿宋_GB2312" w:hAnsi="仿宋" w:eastAsia="仿宋_GB2312" w:cs="仿宋_GB2312"/>
          <w:sz w:val="32"/>
          <w:szCs w:val="32"/>
        </w:rPr>
        <w:t>完善法律援助和司法救助制度，</w:t>
      </w:r>
      <w:r>
        <w:rPr>
          <w:rFonts w:hint="eastAsia" w:ascii="仿宋_GB2312" w:hAnsi="仿宋" w:eastAsia="仿宋_GB2312" w:cs="仿宋"/>
          <w:sz w:val="32"/>
          <w:szCs w:val="32"/>
        </w:rPr>
        <w:t>加强困难群体法律援助服务，</w:t>
      </w:r>
      <w:r>
        <w:rPr>
          <w:rFonts w:hint="eastAsia" w:ascii="仿宋_GB2312" w:hAnsi="仿宋" w:eastAsia="仿宋_GB2312" w:cs="仿宋_GB2312"/>
          <w:sz w:val="32"/>
          <w:szCs w:val="32"/>
        </w:rPr>
        <w:t>保障弱势群体合法权益，</w:t>
      </w:r>
      <w:r>
        <w:rPr>
          <w:rFonts w:hint="eastAsia" w:ascii="仿宋_GB2312" w:hAnsi="仿宋" w:eastAsia="仿宋_GB2312" w:cs="仿宋"/>
          <w:sz w:val="32"/>
          <w:szCs w:val="32"/>
        </w:rPr>
        <w:t>更好地满足人民群众的基本法律服务需求。</w:t>
      </w:r>
    </w:p>
    <w:p w14:paraId="3578E0B5">
      <w:pPr>
        <w:widowControl w:val="0"/>
        <w:pBdr>
          <w:bottom w:val="single" w:color="FFFFFF" w:sz="4" w:space="31"/>
        </w:pBdr>
        <w:tabs>
          <w:tab w:val="left" w:pos="8640"/>
        </w:tabs>
        <w:spacing w:line="640" w:lineRule="exact"/>
        <w:ind w:firstLine="643" w:firstLineChars="200"/>
        <w:jc w:val="both"/>
        <w:rPr>
          <w:rFonts w:ascii="仿宋_GB2312" w:hAnsi="仿宋" w:eastAsia="仿宋_GB2312" w:cs="楷体"/>
          <w:kern w:val="2"/>
          <w:sz w:val="32"/>
          <w:szCs w:val="32"/>
          <w:lang w:val="zh-CN"/>
        </w:rPr>
      </w:pPr>
      <w:r>
        <w:rPr>
          <w:rFonts w:hint="eastAsia" w:ascii="仿宋_GB2312" w:hAnsi="仿宋" w:eastAsia="仿宋_GB2312" w:cs="楷体"/>
          <w:b/>
          <w:kern w:val="2"/>
          <w:sz w:val="32"/>
          <w:szCs w:val="32"/>
          <w:lang w:val="zh-CN"/>
        </w:rPr>
        <w:t>防范化解重要领域风险。</w:t>
      </w:r>
      <w:r>
        <w:rPr>
          <w:rFonts w:hint="eastAsia" w:ascii="仿宋_GB2312" w:hAnsi="仿宋" w:eastAsia="仿宋_GB2312" w:cs="楷体"/>
          <w:kern w:val="2"/>
          <w:sz w:val="32"/>
          <w:szCs w:val="32"/>
          <w:lang w:val="zh-CN"/>
        </w:rPr>
        <w:t>抓好公共卫生预案梳理完善、指挥系统管理、队伍建设和演练、紧急医学救援基地建设等各项工作，更好地保障人民群众生命和健康安全。落实政府属地处置责任和维稳第一责任，打好规范政府投资、压减一般性支出、培植有效财源、变现存量资产等化债“组合拳”，完成化解政府债务和清理拖欠民营企业、中小微企业账款工作任务，确保政府债务风险可控，债务率持续下降。严密防控金融风险，完善金融风险预防、预警、处置、问责制度体系，有序处置地方金融机构风险，维护金融安全。加大金融机构不良贷款处置力度，开展基层高利贷综合治理行动，加强对小额贷款公司、典当行、融资担保公司等监管，持续推进互联网金融风险整治，坚决遏制非法集资等非法金融活动。维护校园、医院、车站、商场等密集场所安全，不让小风险演化为大风险、个别风险演化为综合风险。</w:t>
      </w:r>
      <w:bookmarkStart w:id="129" w:name="_Toc71878929"/>
    </w:p>
    <w:p w14:paraId="3B6C25C6">
      <w:pPr>
        <w:pStyle w:val="4"/>
      </w:pPr>
      <w:r>
        <w:rPr>
          <w:rFonts w:hint="eastAsia"/>
        </w:rPr>
        <w:t>第八节 增强中华民族共同体意识</w:t>
      </w:r>
      <w:bookmarkEnd w:id="129"/>
    </w:p>
    <w:p w14:paraId="4A54F8B7">
      <w:pPr>
        <w:widowControl w:val="0"/>
        <w:pBdr>
          <w:bottom w:val="single" w:color="FFFFFF" w:sz="4" w:space="31"/>
        </w:pBdr>
        <w:tabs>
          <w:tab w:val="left" w:pos="8640"/>
        </w:tabs>
        <w:spacing w:line="64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全面落实党的民族政策，深入贯彻落实宪法和民族区域自治法。加强少数民族干部人才、蒙汉兼通干部人才队伍建设。加强守望相助理念、铸牢中华民族共同体意识的教育，打造“中华民族一家亲”系列实践教育活动平台，新建达茂旗民族团结进步主题广场和创建工作展厅，开展多层次多领域多样化的民族联谊活动。推进建立相互嵌入的社会结构和社区环境，引导各民族群众共建美好家园、共享美好生活。积极争取少数民族发展资金，着力抓好少数民族传统文化传承发展，大力发展少数民族科技教育文化卫生事业。完善大统战工作格局，促进政党关系、民族关系、宗教关系和谐，巩固和发展达茂旗各民族大团结大联合局面。全面贯彻党的宗教工作基本方针，加强宗教政策法规宣传教育培训，推动宗教界加强自身建设，切实提高宗教工作法制化水平，维护宗教界合法权益，引导宗教界在服务达茂旗经济社会发展中发挥积极作用。</w:t>
      </w:r>
    </w:p>
    <w:p w14:paraId="5DD6B161">
      <w:pPr>
        <w:pStyle w:val="4"/>
      </w:pPr>
      <w:bookmarkStart w:id="130" w:name="_Toc71878930"/>
      <w:r>
        <w:rPr>
          <w:rFonts w:hint="eastAsia"/>
        </w:rPr>
        <w:t>第九节 巩固和发展民族团结大局</w:t>
      </w:r>
      <w:bookmarkEnd w:id="130"/>
    </w:p>
    <w:p w14:paraId="77605E8B">
      <w:pPr>
        <w:widowControl w:val="0"/>
        <w:pBdr>
          <w:bottom w:val="single" w:color="FFFFFF" w:sz="4" w:space="31"/>
        </w:pBdr>
        <w:tabs>
          <w:tab w:val="left" w:pos="8640"/>
        </w:tabs>
        <w:spacing w:line="640" w:lineRule="exact"/>
        <w:ind w:firstLine="640" w:firstLineChars="200"/>
        <w:contextualSpacing/>
        <w:rPr>
          <w:rFonts w:ascii="楷体_GB2312" w:eastAsia="楷体_GB2312"/>
          <w:b/>
          <w:sz w:val="32"/>
          <w:szCs w:val="32"/>
        </w:rPr>
      </w:pPr>
      <w:r>
        <w:rPr>
          <w:rFonts w:hint="eastAsia" w:ascii="仿宋_GB2312" w:hAnsi="仿宋" w:eastAsia="仿宋_GB2312" w:cs="仿宋"/>
          <w:kern w:val="2"/>
          <w:sz w:val="32"/>
          <w:szCs w:val="32"/>
        </w:rPr>
        <w:t>深入贯彻落实民族区域自治制度，全面贯彻党的民族政策，加强和改进新时代民族工作，促进各民族共同团结奋斗、共同繁荣发展。全面深入持久开展民族团结进步创建，</w:t>
      </w:r>
      <w:r>
        <w:rPr>
          <w:rFonts w:hint="eastAsia" w:ascii="仿宋_GB2312" w:hAnsi="仿宋" w:eastAsia="仿宋_GB2312" w:cs="仿宋"/>
          <w:sz w:val="32"/>
          <w:szCs w:val="32"/>
        </w:rPr>
        <w:t>巩固我旗全国民族团结进步创建示范旗，大力培育命名民族团结进步创建示范单位和教育基地。</w:t>
      </w:r>
      <w:r>
        <w:rPr>
          <w:rFonts w:hint="eastAsia" w:ascii="仿宋_GB2312" w:hAnsi="仿宋" w:eastAsia="仿宋_GB2312" w:cs="仿宋"/>
          <w:kern w:val="2"/>
          <w:sz w:val="32"/>
          <w:szCs w:val="32"/>
        </w:rPr>
        <w:t>常态化开展民族团结进步教育，将民族团结进步教育纳入干部教育、青少年教育、社会教育、普法教育等各个方面、各个领域，全面开展党史、新中国史、改革开放史、社会主义发展史教育，把爱国主义教育贯穿各级各类教育全过程，进一步深化守望相助理念，引导群众树立正确的历史观、国家观、民族观、文化观，建设各民族共有精神家园，让“三个离不开”“五个认同”深入人心。发展和繁荣包括各民族文化在内的中华文化，创作体现时代特色、凸显中华文化特征、彰显中华民族形象的文化作品，促进各民族文化传承保护、创新交融。巩固和发展平等团结互助和谐的社会主义民族关系，做好各族群众一起交流、培养、融洽感情的工作，深化各民族交往交流交融，营造各族群众共居共学共事共乐的社会条件。坚定不移做好推广普及国家通用语言文字工作，扎实推进双语教学改革，全面推行使用国家统编教材。实施好兴边富民行动，推进民族地区振兴发展。</w:t>
      </w:r>
    </w:p>
    <w:p w14:paraId="4E40C1D2">
      <w:pPr>
        <w:pStyle w:val="3"/>
        <w:rPr>
          <w:lang w:val="zh-CN"/>
        </w:rPr>
      </w:pPr>
      <w:bookmarkStart w:id="131" w:name="_Toc71878931"/>
      <w:r>
        <w:rPr>
          <w:rFonts w:hint="eastAsia"/>
        </w:rPr>
        <w:t>第十七章 坚持党的领导 保障规划顺利实施</w:t>
      </w:r>
      <w:bookmarkEnd w:id="131"/>
    </w:p>
    <w:p w14:paraId="0A149625">
      <w:pPr>
        <w:widowControl w:val="0"/>
        <w:spacing w:line="64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坚持党的全面领导，充分调动一切积极因素，广泛团结一切可以团结的力量，形成推动发展的强大合力，把全面建设现代化达茂旗的宏伟蓝图变为美好现实。</w:t>
      </w:r>
    </w:p>
    <w:p w14:paraId="442EEED8">
      <w:pPr>
        <w:pStyle w:val="4"/>
        <w:rPr>
          <w:lang w:val="zh-CN"/>
        </w:rPr>
      </w:pPr>
      <w:bookmarkStart w:id="132" w:name="_Toc71878932"/>
      <w:r>
        <w:rPr>
          <w:rFonts w:hint="eastAsia"/>
          <w:lang w:val="zh-CN"/>
        </w:rPr>
        <w:t>第一节 坚持党的集中统一领导</w:t>
      </w:r>
      <w:bookmarkEnd w:id="132"/>
    </w:p>
    <w:p w14:paraId="08AD230B">
      <w:pPr>
        <w:widowControl w:val="0"/>
        <w:spacing w:line="6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坚持党的领导，加强政治建设，深入学习贯彻习近平新时代中国特色社会主义思想和习近平总书记关于内蒙古工作重要讲话重要指示批示精神，确保在思想上政治上行动上同以习近平同志为核心的党中央保持高度一致。坚决贯彻党把方向、谋大局、定政策、促改革的要求，推动全旗各级党组织和广大党员干部增强“四个意识”、坚定“四个自信”、做到“两个维护”。深入学习运用中国共产党一百年的宝贵经验，教育引导广大党员干部坚持共产主义远大理想和中国特色社会主义共同理想，坚定理想信念，不忘初心、牢记使命，树立正确的权力观、政绩观，为党和人民事业不懈奋斗。</w:t>
      </w:r>
    </w:p>
    <w:p w14:paraId="1D87F75A">
      <w:pPr>
        <w:pStyle w:val="4"/>
      </w:pPr>
      <w:bookmarkStart w:id="133" w:name="_Toc71878933"/>
      <w:r>
        <w:rPr>
          <w:rFonts w:hint="eastAsia"/>
        </w:rPr>
        <w:t>第二节 全面从严治党</w:t>
      </w:r>
      <w:bookmarkEnd w:id="133"/>
    </w:p>
    <w:p w14:paraId="26D0C929">
      <w:pPr>
        <w:widowControl w:val="0"/>
        <w:spacing w:line="6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制定落实全面从严治党责任清单，认真落实全面从严治党主体责任和监督责任，不断提高党的建设质量。全面贯彻新时代党的组织路线，规范基层党组织建设，完善党建工作模式，打造强有力的基层党组织。坚持正确选人用人导向，坚持好干部标准，加强干部教育培养特别是年轻干部培养，提高各级领导班子和干部适应新时代新要求抓改革、促发展、保稳定水平和专业化能力。锲而不舍落实中央八项规定精神，持续纠治形式主义、官僚主义，把为基层减负的措施落到实处。巩固党风廉政建设和反腐败斗争成效，深化专项治理、集中整治，加强政治监督，强化对公权力和公职人员的全面监督，一体推进不敢腐、不能腐、不想腐，营造风清气正的良好政治生态。</w:t>
      </w:r>
    </w:p>
    <w:p w14:paraId="5BC67CFB">
      <w:pPr>
        <w:pStyle w:val="4"/>
      </w:pPr>
      <w:bookmarkStart w:id="134" w:name="_Toc71878934"/>
      <w:r>
        <w:rPr>
          <w:rFonts w:hint="eastAsia"/>
        </w:rPr>
        <w:t>第三节 发挥规划战略导向作用</w:t>
      </w:r>
      <w:bookmarkEnd w:id="134"/>
    </w:p>
    <w:p w14:paraId="4B1A6AF6">
      <w:pPr>
        <w:shd w:val="clear" w:color="auto" w:fill="FFFFFF"/>
        <w:spacing w:line="640" w:lineRule="exact"/>
        <w:ind w:firstLine="640" w:firstLineChars="200"/>
        <w:rPr>
          <w:rFonts w:ascii="仿宋_GB2312" w:hAnsi="微软雅黑" w:eastAsia="仿宋_GB2312" w:cs="宋体"/>
          <w:sz w:val="32"/>
          <w:szCs w:val="32"/>
        </w:rPr>
      </w:pPr>
      <w:r>
        <w:rPr>
          <w:rFonts w:hint="eastAsia" w:ascii="仿宋_GB2312" w:hAnsi="微软雅黑" w:eastAsia="仿宋_GB2312" w:cs="宋体"/>
          <w:sz w:val="32"/>
          <w:szCs w:val="32"/>
        </w:rPr>
        <w:t>严格落实《中共中央国务院关于统一规划体系更好发挥国家发展规划战略导向作用的意见》，牢牢把握以规划引领经济社会发展是党治国理政的重要方式，是中国特色社会主义发展模式的重要体现。本规划是我旗推进社会主义现代化建设的行动纲领，是全旗各族人民共同奋斗的宏伟蓝图。各地区、各部门要严格遵循下级规划服务上级规划相互协调的原则，严格落实以发展规划为统领，以空间规划为基础，由总体规划和专项规划共同组成的规划体系。严格执行规划编制目录清单管理制度。</w:t>
      </w:r>
    </w:p>
    <w:p w14:paraId="33BBA04A">
      <w:pPr>
        <w:pStyle w:val="4"/>
      </w:pPr>
      <w:bookmarkStart w:id="135" w:name="_Toc71878935"/>
      <w:r>
        <w:rPr>
          <w:rFonts w:hint="eastAsia"/>
        </w:rPr>
        <w:t>第四节 健全规划贯彻落实机制</w:t>
      </w:r>
      <w:bookmarkEnd w:id="135"/>
    </w:p>
    <w:p w14:paraId="569B1C09">
      <w:pPr>
        <w:widowControl w:val="0"/>
        <w:spacing w:line="6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按照旗委十三届十五次全会精神和规划建议确定的指导思想、主要目标、重点任务、重要举措，制定全旗“十四五”规划纲要、专项规划、行动方案和年度计划，形成定位准确、边界清晰、功能互补、统一衔接的规划体系，更好发挥发展规划战略导向作用。加强党对经济工作的领导，完善</w:t>
      </w:r>
    </w:p>
    <w:p w14:paraId="2A205FA2">
      <w:pPr>
        <w:widowControl w:val="0"/>
        <w:spacing w:line="640" w:lineRule="exact"/>
        <w:jc w:val="both"/>
        <w:rPr>
          <w:rFonts w:ascii="仿宋_GB2312" w:hAnsi="仿宋" w:eastAsia="仿宋_GB2312"/>
          <w:sz w:val="32"/>
          <w:szCs w:val="32"/>
        </w:rPr>
      </w:pPr>
      <w:r>
        <w:rPr>
          <w:rFonts w:hint="eastAsia" w:ascii="仿宋_GB2312" w:hAnsi="仿宋" w:eastAsia="仿宋_GB2312"/>
          <w:sz w:val="32"/>
          <w:szCs w:val="32"/>
        </w:rPr>
        <w:t>旗委研究经济社会发展战略、定期分析经济形势、研究重大方针政策的工作机制，健全决策咨询机制，提高决策科学化水平。发挥旗、苏木乡镇、嘎查村（社区）党组织的领导作用，加强制度化建设，改进工作体制机制和方式方法，保障“十四五”时期各项任务顺利完成。建立规划纲要任务分解和责任落实机制，健全政策协调和工作协同机制，完善规划实施监测评估机制，推动规划有效实施，确保党中央关于“十四五”发展的决策部署落到实处。</w:t>
      </w:r>
    </w:p>
    <w:p w14:paraId="3B2F64BB">
      <w:pPr>
        <w:widowControl w:val="0"/>
        <w:spacing w:line="6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实现“十四五”规划和二</w:t>
      </w:r>
      <w:r>
        <w:rPr>
          <w:rFonts w:hint="eastAsia" w:ascii="宋体" w:hAnsi="宋体" w:cs="宋体"/>
          <w:sz w:val="32"/>
          <w:szCs w:val="32"/>
        </w:rPr>
        <w:t>〇</w:t>
      </w:r>
      <w:r>
        <w:rPr>
          <w:rFonts w:hint="eastAsia" w:ascii="仿宋_GB2312" w:hAnsi="仿宋_GB2312" w:eastAsia="仿宋_GB2312" w:cs="仿宋_GB2312"/>
          <w:sz w:val="32"/>
          <w:szCs w:val="32"/>
        </w:rPr>
        <w:t>三五年远景目标，任务艰巨、责任重大、使命光荣。全旗各级党组织和广大党员干部群众要更加紧密地团结在以习近平同志为核心的党中央周围，守望相助、团结奋斗，在全面建设社会主义现代化国家新征程上书写</w:t>
      </w:r>
      <w:r>
        <w:rPr>
          <w:rFonts w:hint="eastAsia" w:ascii="仿宋_GB2312" w:hAnsi="仿宋" w:eastAsia="仿宋_GB2312"/>
          <w:sz w:val="32"/>
          <w:szCs w:val="32"/>
        </w:rPr>
        <w:t>达茂旗发展新篇章！</w:t>
      </w:r>
    </w:p>
    <w:sectPr>
      <w:footerReference r:id="rId3" w:type="default"/>
      <w:pgSz w:w="11906" w:h="16838"/>
      <w:pgMar w:top="1440" w:right="1800" w:bottom="1440" w:left="1800"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roman"/>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Georgia">
    <w:panose1 w:val="02040502050405020303"/>
    <w:charset w:val="00"/>
    <w:family w:val="roman"/>
    <w:pitch w:val="default"/>
    <w:sig w:usb0="00000287" w:usb1="00000000"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仿宋简体">
    <w:altName w:val="微软雅黑"/>
    <w:panose1 w:val="00000000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790403"/>
    </w:sdtPr>
    <w:sdtContent>
      <w:p w14:paraId="655D6042">
        <w:pPr>
          <w:pStyle w:val="15"/>
          <w:jc w:val="center"/>
        </w:pPr>
        <w:r>
          <w:fldChar w:fldCharType="begin"/>
        </w:r>
        <w:r>
          <w:instrText xml:space="preserve">PAGE   \* MERGEFORMAT</w:instrText>
        </w:r>
        <w:r>
          <w:fldChar w:fldCharType="separate"/>
        </w:r>
        <w:r>
          <w:rPr>
            <w:lang w:val="zh-CN"/>
          </w:rPr>
          <w:t>85</w:t>
        </w:r>
        <w:r>
          <w:rPr>
            <w:lang w:val="zh-CN"/>
          </w:rPr>
          <w:fldChar w:fldCharType="end"/>
        </w:r>
      </w:p>
    </w:sdtContent>
  </w:sdt>
  <w:p w14:paraId="3A229E89">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24EE5"/>
    <w:multiLevelType w:val="multilevel"/>
    <w:tmpl w:val="12324EE5"/>
    <w:lvl w:ilvl="0" w:tentative="0">
      <w:start w:val="1"/>
      <w:numFmt w:val="japaneseCounting"/>
      <w:lvlText w:val="第%1章"/>
      <w:lvlJc w:val="left"/>
      <w:pPr>
        <w:ind w:left="915" w:hanging="915"/>
      </w:pPr>
      <w:rPr>
        <w:rFonts w:hint="default" w:ascii="Tahoma" w:hAnsi="Tahoma" w:eastAsia="仿宋_GB2312" w:cs="Times New Roman"/>
        <w:b/>
        <w:color w:val="000000"/>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677210"/>
    <w:multiLevelType w:val="multilevel"/>
    <w:tmpl w:val="14677210"/>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5C01F53"/>
    <w:multiLevelType w:val="multilevel"/>
    <w:tmpl w:val="15C01F53"/>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90C6F72"/>
    <w:multiLevelType w:val="multilevel"/>
    <w:tmpl w:val="290C6F72"/>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D500434"/>
    <w:multiLevelType w:val="multilevel"/>
    <w:tmpl w:val="2D500434"/>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04B6B48"/>
    <w:multiLevelType w:val="multilevel"/>
    <w:tmpl w:val="304B6B48"/>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0C0733B"/>
    <w:multiLevelType w:val="multilevel"/>
    <w:tmpl w:val="30C0733B"/>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3004C8C"/>
    <w:multiLevelType w:val="multilevel"/>
    <w:tmpl w:val="33004C8C"/>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9E22B32"/>
    <w:multiLevelType w:val="multilevel"/>
    <w:tmpl w:val="49E22B32"/>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48C3D40"/>
    <w:multiLevelType w:val="multilevel"/>
    <w:tmpl w:val="548C3D40"/>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B730BF1"/>
    <w:multiLevelType w:val="multilevel"/>
    <w:tmpl w:val="5B730BF1"/>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D066A31"/>
    <w:multiLevelType w:val="multilevel"/>
    <w:tmpl w:val="5D066A31"/>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FB57958"/>
    <w:multiLevelType w:val="multilevel"/>
    <w:tmpl w:val="5FB57958"/>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5D850A2"/>
    <w:multiLevelType w:val="multilevel"/>
    <w:tmpl w:val="65D850A2"/>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EA87895"/>
    <w:multiLevelType w:val="multilevel"/>
    <w:tmpl w:val="6EA87895"/>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5662D3D"/>
    <w:multiLevelType w:val="multilevel"/>
    <w:tmpl w:val="75662D3D"/>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C146FCC"/>
    <w:multiLevelType w:val="multilevel"/>
    <w:tmpl w:val="7C146FCC"/>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F844701"/>
    <w:multiLevelType w:val="multilevel"/>
    <w:tmpl w:val="7F844701"/>
    <w:lvl w:ilvl="0" w:tentative="0">
      <w:start w:val="1"/>
      <w:numFmt w:val="japaneseCounting"/>
      <w:lvlText w:val="第%1节"/>
      <w:lvlJc w:val="left"/>
      <w:pPr>
        <w:ind w:left="1320" w:hanging="900"/>
      </w:pPr>
      <w:rPr>
        <w:rFonts w:hint="default" w:ascii="Tahoma" w:hAnsi="Tahoma" w:eastAsia="仿宋_GB2312" w:cs="Times New Roman"/>
        <w:color w:val="000000"/>
        <w:sz w:val="3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3"/>
  </w:num>
  <w:num w:numId="3">
    <w:abstractNumId w:val="4"/>
  </w:num>
  <w:num w:numId="4">
    <w:abstractNumId w:val="12"/>
  </w:num>
  <w:num w:numId="5">
    <w:abstractNumId w:val="10"/>
  </w:num>
  <w:num w:numId="6">
    <w:abstractNumId w:val="16"/>
  </w:num>
  <w:num w:numId="7">
    <w:abstractNumId w:val="7"/>
  </w:num>
  <w:num w:numId="8">
    <w:abstractNumId w:val="14"/>
  </w:num>
  <w:num w:numId="9">
    <w:abstractNumId w:val="6"/>
  </w:num>
  <w:num w:numId="10">
    <w:abstractNumId w:val="8"/>
  </w:num>
  <w:num w:numId="11">
    <w:abstractNumId w:val="11"/>
  </w:num>
  <w:num w:numId="12">
    <w:abstractNumId w:val="15"/>
  </w:num>
  <w:num w:numId="13">
    <w:abstractNumId w:val="5"/>
  </w:num>
  <w:num w:numId="14">
    <w:abstractNumId w:val="17"/>
  </w:num>
  <w:num w:numId="15">
    <w:abstractNumId w:val="3"/>
  </w:num>
  <w:num w:numId="16">
    <w:abstractNumId w:val="9"/>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mE2MTg0ZmFhM2U5MWMxNjFjMDhiOWRjMTRjMjdhNGIifQ=="/>
  </w:docVars>
  <w:rsids>
    <w:rsidRoot w:val="2F1963A3"/>
    <w:rsid w:val="0000159D"/>
    <w:rsid w:val="00001DB0"/>
    <w:rsid w:val="00001FA8"/>
    <w:rsid w:val="00002D9B"/>
    <w:rsid w:val="000034DF"/>
    <w:rsid w:val="00004B52"/>
    <w:rsid w:val="00005043"/>
    <w:rsid w:val="00005FD6"/>
    <w:rsid w:val="00007B3F"/>
    <w:rsid w:val="000110D2"/>
    <w:rsid w:val="00011D0B"/>
    <w:rsid w:val="000133A4"/>
    <w:rsid w:val="00013FD1"/>
    <w:rsid w:val="000140B4"/>
    <w:rsid w:val="0001463A"/>
    <w:rsid w:val="00016002"/>
    <w:rsid w:val="00016504"/>
    <w:rsid w:val="0002083E"/>
    <w:rsid w:val="00020F56"/>
    <w:rsid w:val="00021354"/>
    <w:rsid w:val="00021A33"/>
    <w:rsid w:val="00023609"/>
    <w:rsid w:val="00023905"/>
    <w:rsid w:val="00023CD9"/>
    <w:rsid w:val="00025269"/>
    <w:rsid w:val="00025886"/>
    <w:rsid w:val="000259BA"/>
    <w:rsid w:val="00026114"/>
    <w:rsid w:val="00026430"/>
    <w:rsid w:val="00026CEF"/>
    <w:rsid w:val="000271AD"/>
    <w:rsid w:val="00027E5E"/>
    <w:rsid w:val="000329A9"/>
    <w:rsid w:val="00032DEE"/>
    <w:rsid w:val="00034DFE"/>
    <w:rsid w:val="00035C0F"/>
    <w:rsid w:val="00037C9F"/>
    <w:rsid w:val="000403C0"/>
    <w:rsid w:val="00043046"/>
    <w:rsid w:val="00043211"/>
    <w:rsid w:val="0004419B"/>
    <w:rsid w:val="000449D4"/>
    <w:rsid w:val="00046038"/>
    <w:rsid w:val="0004652E"/>
    <w:rsid w:val="00046932"/>
    <w:rsid w:val="00046C66"/>
    <w:rsid w:val="00047959"/>
    <w:rsid w:val="00050262"/>
    <w:rsid w:val="00051264"/>
    <w:rsid w:val="0005417C"/>
    <w:rsid w:val="00054E69"/>
    <w:rsid w:val="000574C7"/>
    <w:rsid w:val="000634DB"/>
    <w:rsid w:val="000644AF"/>
    <w:rsid w:val="00064644"/>
    <w:rsid w:val="000650CA"/>
    <w:rsid w:val="00065119"/>
    <w:rsid w:val="00065360"/>
    <w:rsid w:val="00066E52"/>
    <w:rsid w:val="000679EC"/>
    <w:rsid w:val="0007044B"/>
    <w:rsid w:val="00071B95"/>
    <w:rsid w:val="00073636"/>
    <w:rsid w:val="00075B47"/>
    <w:rsid w:val="00076108"/>
    <w:rsid w:val="00076212"/>
    <w:rsid w:val="00076429"/>
    <w:rsid w:val="0007728D"/>
    <w:rsid w:val="00080E67"/>
    <w:rsid w:val="000812B9"/>
    <w:rsid w:val="000835E9"/>
    <w:rsid w:val="00084DB2"/>
    <w:rsid w:val="000862DB"/>
    <w:rsid w:val="00086952"/>
    <w:rsid w:val="00087234"/>
    <w:rsid w:val="00090843"/>
    <w:rsid w:val="00090E8D"/>
    <w:rsid w:val="000912A6"/>
    <w:rsid w:val="000921E4"/>
    <w:rsid w:val="00092BAC"/>
    <w:rsid w:val="00092CE1"/>
    <w:rsid w:val="00093A8B"/>
    <w:rsid w:val="00093EF9"/>
    <w:rsid w:val="00094AAC"/>
    <w:rsid w:val="000950BB"/>
    <w:rsid w:val="000952C9"/>
    <w:rsid w:val="00095D93"/>
    <w:rsid w:val="00096415"/>
    <w:rsid w:val="00096F9D"/>
    <w:rsid w:val="000A1BCC"/>
    <w:rsid w:val="000A2DA6"/>
    <w:rsid w:val="000A32EE"/>
    <w:rsid w:val="000A4E1E"/>
    <w:rsid w:val="000A5CAE"/>
    <w:rsid w:val="000A6023"/>
    <w:rsid w:val="000A6A53"/>
    <w:rsid w:val="000A717B"/>
    <w:rsid w:val="000B153B"/>
    <w:rsid w:val="000B250A"/>
    <w:rsid w:val="000B3460"/>
    <w:rsid w:val="000B3B0B"/>
    <w:rsid w:val="000B3FCD"/>
    <w:rsid w:val="000C04D6"/>
    <w:rsid w:val="000C0528"/>
    <w:rsid w:val="000C0802"/>
    <w:rsid w:val="000C0C38"/>
    <w:rsid w:val="000C2A6A"/>
    <w:rsid w:val="000C30F8"/>
    <w:rsid w:val="000C3D89"/>
    <w:rsid w:val="000C4D4C"/>
    <w:rsid w:val="000C4EED"/>
    <w:rsid w:val="000C58F8"/>
    <w:rsid w:val="000C68EE"/>
    <w:rsid w:val="000C6C54"/>
    <w:rsid w:val="000C6E68"/>
    <w:rsid w:val="000D12EE"/>
    <w:rsid w:val="000D17C6"/>
    <w:rsid w:val="000D1A3C"/>
    <w:rsid w:val="000D29FC"/>
    <w:rsid w:val="000D36BC"/>
    <w:rsid w:val="000D4B34"/>
    <w:rsid w:val="000D4D0B"/>
    <w:rsid w:val="000D6275"/>
    <w:rsid w:val="000D68FE"/>
    <w:rsid w:val="000D6947"/>
    <w:rsid w:val="000E0CF8"/>
    <w:rsid w:val="000E2381"/>
    <w:rsid w:val="000E2DBD"/>
    <w:rsid w:val="000E39EC"/>
    <w:rsid w:val="000E3D10"/>
    <w:rsid w:val="000E474C"/>
    <w:rsid w:val="000E6715"/>
    <w:rsid w:val="000E7E12"/>
    <w:rsid w:val="000F1A8D"/>
    <w:rsid w:val="000F2344"/>
    <w:rsid w:val="000F27DD"/>
    <w:rsid w:val="000F2924"/>
    <w:rsid w:val="000F5146"/>
    <w:rsid w:val="000F626E"/>
    <w:rsid w:val="000F6DFB"/>
    <w:rsid w:val="00103D8E"/>
    <w:rsid w:val="00103ED8"/>
    <w:rsid w:val="0010681F"/>
    <w:rsid w:val="00110FA6"/>
    <w:rsid w:val="00110FCE"/>
    <w:rsid w:val="00112410"/>
    <w:rsid w:val="00112C88"/>
    <w:rsid w:val="001155F5"/>
    <w:rsid w:val="001157F8"/>
    <w:rsid w:val="001160C0"/>
    <w:rsid w:val="00117635"/>
    <w:rsid w:val="001176DD"/>
    <w:rsid w:val="0012018D"/>
    <w:rsid w:val="001206C8"/>
    <w:rsid w:val="00122EBE"/>
    <w:rsid w:val="00123B1C"/>
    <w:rsid w:val="0012452B"/>
    <w:rsid w:val="001246DD"/>
    <w:rsid w:val="0012533B"/>
    <w:rsid w:val="00126039"/>
    <w:rsid w:val="00126770"/>
    <w:rsid w:val="00127124"/>
    <w:rsid w:val="0012713E"/>
    <w:rsid w:val="001274B3"/>
    <w:rsid w:val="00130500"/>
    <w:rsid w:val="001322AC"/>
    <w:rsid w:val="001335D2"/>
    <w:rsid w:val="00133717"/>
    <w:rsid w:val="00133E99"/>
    <w:rsid w:val="0013522F"/>
    <w:rsid w:val="001356A7"/>
    <w:rsid w:val="00141688"/>
    <w:rsid w:val="00141952"/>
    <w:rsid w:val="00142B0D"/>
    <w:rsid w:val="00142CF1"/>
    <w:rsid w:val="00144956"/>
    <w:rsid w:val="00144D92"/>
    <w:rsid w:val="00144EE5"/>
    <w:rsid w:val="00145222"/>
    <w:rsid w:val="00145C78"/>
    <w:rsid w:val="001512A1"/>
    <w:rsid w:val="001513B2"/>
    <w:rsid w:val="001522EB"/>
    <w:rsid w:val="00154A57"/>
    <w:rsid w:val="00155149"/>
    <w:rsid w:val="00161D5F"/>
    <w:rsid w:val="00161E6A"/>
    <w:rsid w:val="001636A0"/>
    <w:rsid w:val="00163A76"/>
    <w:rsid w:val="001643FE"/>
    <w:rsid w:val="00165141"/>
    <w:rsid w:val="00165CAC"/>
    <w:rsid w:val="001661AB"/>
    <w:rsid w:val="00166C4C"/>
    <w:rsid w:val="0016734D"/>
    <w:rsid w:val="00167B95"/>
    <w:rsid w:val="001727D3"/>
    <w:rsid w:val="0017296F"/>
    <w:rsid w:val="001730E9"/>
    <w:rsid w:val="00173664"/>
    <w:rsid w:val="00175825"/>
    <w:rsid w:val="00177768"/>
    <w:rsid w:val="001866CB"/>
    <w:rsid w:val="001939A0"/>
    <w:rsid w:val="001970F2"/>
    <w:rsid w:val="00197220"/>
    <w:rsid w:val="00197AAD"/>
    <w:rsid w:val="001A0642"/>
    <w:rsid w:val="001A1099"/>
    <w:rsid w:val="001A3357"/>
    <w:rsid w:val="001A4F83"/>
    <w:rsid w:val="001A5373"/>
    <w:rsid w:val="001A638B"/>
    <w:rsid w:val="001A6981"/>
    <w:rsid w:val="001A6E8F"/>
    <w:rsid w:val="001B0234"/>
    <w:rsid w:val="001B0518"/>
    <w:rsid w:val="001B07C6"/>
    <w:rsid w:val="001B1F01"/>
    <w:rsid w:val="001B2575"/>
    <w:rsid w:val="001B2C94"/>
    <w:rsid w:val="001B3E0C"/>
    <w:rsid w:val="001B6330"/>
    <w:rsid w:val="001B663C"/>
    <w:rsid w:val="001B72EC"/>
    <w:rsid w:val="001B7B7A"/>
    <w:rsid w:val="001B7B8E"/>
    <w:rsid w:val="001C023B"/>
    <w:rsid w:val="001C02F3"/>
    <w:rsid w:val="001C0D02"/>
    <w:rsid w:val="001C1BC8"/>
    <w:rsid w:val="001C1D0D"/>
    <w:rsid w:val="001C5403"/>
    <w:rsid w:val="001C5BD4"/>
    <w:rsid w:val="001D042D"/>
    <w:rsid w:val="001D21EA"/>
    <w:rsid w:val="001D385F"/>
    <w:rsid w:val="001D49B5"/>
    <w:rsid w:val="001D5B80"/>
    <w:rsid w:val="001E0725"/>
    <w:rsid w:val="001E29B8"/>
    <w:rsid w:val="001E2F9F"/>
    <w:rsid w:val="001E37D2"/>
    <w:rsid w:val="001E7328"/>
    <w:rsid w:val="001F0406"/>
    <w:rsid w:val="001F246D"/>
    <w:rsid w:val="001F3F48"/>
    <w:rsid w:val="001F466C"/>
    <w:rsid w:val="001F5008"/>
    <w:rsid w:val="001F5FA2"/>
    <w:rsid w:val="001F64A4"/>
    <w:rsid w:val="001F7EC7"/>
    <w:rsid w:val="002010E6"/>
    <w:rsid w:val="00201442"/>
    <w:rsid w:val="002024EB"/>
    <w:rsid w:val="002029F0"/>
    <w:rsid w:val="00202CB0"/>
    <w:rsid w:val="00202D93"/>
    <w:rsid w:val="00203653"/>
    <w:rsid w:val="00203E8A"/>
    <w:rsid w:val="00204CC4"/>
    <w:rsid w:val="0020505F"/>
    <w:rsid w:val="002105C1"/>
    <w:rsid w:val="00211946"/>
    <w:rsid w:val="00212C08"/>
    <w:rsid w:val="0021387D"/>
    <w:rsid w:val="00213CDE"/>
    <w:rsid w:val="00213F9B"/>
    <w:rsid w:val="00214E48"/>
    <w:rsid w:val="0021527C"/>
    <w:rsid w:val="002155C0"/>
    <w:rsid w:val="002157E1"/>
    <w:rsid w:val="002162D2"/>
    <w:rsid w:val="00220084"/>
    <w:rsid w:val="002202C1"/>
    <w:rsid w:val="00221CD5"/>
    <w:rsid w:val="00224D4F"/>
    <w:rsid w:val="00226853"/>
    <w:rsid w:val="002269EF"/>
    <w:rsid w:val="00226EB7"/>
    <w:rsid w:val="002304E9"/>
    <w:rsid w:val="002305EA"/>
    <w:rsid w:val="00230736"/>
    <w:rsid w:val="00231881"/>
    <w:rsid w:val="00232132"/>
    <w:rsid w:val="00236808"/>
    <w:rsid w:val="00236D05"/>
    <w:rsid w:val="0024239A"/>
    <w:rsid w:val="002436E9"/>
    <w:rsid w:val="0024475B"/>
    <w:rsid w:val="00244B46"/>
    <w:rsid w:val="00244F91"/>
    <w:rsid w:val="00245557"/>
    <w:rsid w:val="00245611"/>
    <w:rsid w:val="00247B4E"/>
    <w:rsid w:val="0025047A"/>
    <w:rsid w:val="00250BF2"/>
    <w:rsid w:val="002512F1"/>
    <w:rsid w:val="00251447"/>
    <w:rsid w:val="0025171A"/>
    <w:rsid w:val="00251E07"/>
    <w:rsid w:val="00255252"/>
    <w:rsid w:val="00261FEB"/>
    <w:rsid w:val="00262C70"/>
    <w:rsid w:val="00263143"/>
    <w:rsid w:val="00264F09"/>
    <w:rsid w:val="00265EBA"/>
    <w:rsid w:val="00271A9E"/>
    <w:rsid w:val="00271E29"/>
    <w:rsid w:val="002736DA"/>
    <w:rsid w:val="00273E0C"/>
    <w:rsid w:val="0027470E"/>
    <w:rsid w:val="00274AEB"/>
    <w:rsid w:val="00275ECE"/>
    <w:rsid w:val="00276372"/>
    <w:rsid w:val="002765AD"/>
    <w:rsid w:val="002771C6"/>
    <w:rsid w:val="00277675"/>
    <w:rsid w:val="002776F6"/>
    <w:rsid w:val="00277977"/>
    <w:rsid w:val="00280258"/>
    <w:rsid w:val="00281EBC"/>
    <w:rsid w:val="00282D0F"/>
    <w:rsid w:val="002836CC"/>
    <w:rsid w:val="00283CD7"/>
    <w:rsid w:val="00284038"/>
    <w:rsid w:val="00284CA6"/>
    <w:rsid w:val="002855BD"/>
    <w:rsid w:val="00285BDD"/>
    <w:rsid w:val="00292C94"/>
    <w:rsid w:val="002946F6"/>
    <w:rsid w:val="002A1153"/>
    <w:rsid w:val="002A1DF4"/>
    <w:rsid w:val="002A33C1"/>
    <w:rsid w:val="002A3AC7"/>
    <w:rsid w:val="002A44A3"/>
    <w:rsid w:val="002A6771"/>
    <w:rsid w:val="002A67AB"/>
    <w:rsid w:val="002A751E"/>
    <w:rsid w:val="002B02B9"/>
    <w:rsid w:val="002B062B"/>
    <w:rsid w:val="002B2B30"/>
    <w:rsid w:val="002B2DEF"/>
    <w:rsid w:val="002B2E23"/>
    <w:rsid w:val="002B3CE6"/>
    <w:rsid w:val="002B5531"/>
    <w:rsid w:val="002B553B"/>
    <w:rsid w:val="002B56A7"/>
    <w:rsid w:val="002B635D"/>
    <w:rsid w:val="002B65C9"/>
    <w:rsid w:val="002B6839"/>
    <w:rsid w:val="002B75A9"/>
    <w:rsid w:val="002C1F8D"/>
    <w:rsid w:val="002C23F1"/>
    <w:rsid w:val="002C3EA5"/>
    <w:rsid w:val="002C4373"/>
    <w:rsid w:val="002C4931"/>
    <w:rsid w:val="002C5A4D"/>
    <w:rsid w:val="002C6F07"/>
    <w:rsid w:val="002C7AD9"/>
    <w:rsid w:val="002C7F79"/>
    <w:rsid w:val="002D03AD"/>
    <w:rsid w:val="002D11BD"/>
    <w:rsid w:val="002D15F0"/>
    <w:rsid w:val="002D24C2"/>
    <w:rsid w:val="002D455B"/>
    <w:rsid w:val="002D498C"/>
    <w:rsid w:val="002D5A36"/>
    <w:rsid w:val="002D62FE"/>
    <w:rsid w:val="002D6D10"/>
    <w:rsid w:val="002E0D25"/>
    <w:rsid w:val="002E1F0A"/>
    <w:rsid w:val="002E299A"/>
    <w:rsid w:val="002E4495"/>
    <w:rsid w:val="002E57E0"/>
    <w:rsid w:val="002E6261"/>
    <w:rsid w:val="002E6C5C"/>
    <w:rsid w:val="002F04FD"/>
    <w:rsid w:val="002F0E1A"/>
    <w:rsid w:val="002F1802"/>
    <w:rsid w:val="002F2192"/>
    <w:rsid w:val="002F2EBB"/>
    <w:rsid w:val="002F5E81"/>
    <w:rsid w:val="002F626F"/>
    <w:rsid w:val="0030094A"/>
    <w:rsid w:val="003016DE"/>
    <w:rsid w:val="003026A7"/>
    <w:rsid w:val="00302C55"/>
    <w:rsid w:val="00303037"/>
    <w:rsid w:val="00303B0B"/>
    <w:rsid w:val="00303FCD"/>
    <w:rsid w:val="00304345"/>
    <w:rsid w:val="0030522E"/>
    <w:rsid w:val="00305B4B"/>
    <w:rsid w:val="00305DB4"/>
    <w:rsid w:val="003079FE"/>
    <w:rsid w:val="00310061"/>
    <w:rsid w:val="003102FB"/>
    <w:rsid w:val="003123B7"/>
    <w:rsid w:val="00314B66"/>
    <w:rsid w:val="00315994"/>
    <w:rsid w:val="003165AE"/>
    <w:rsid w:val="00320599"/>
    <w:rsid w:val="00320673"/>
    <w:rsid w:val="0032254C"/>
    <w:rsid w:val="00322964"/>
    <w:rsid w:val="00323B2A"/>
    <w:rsid w:val="003245E9"/>
    <w:rsid w:val="0032527F"/>
    <w:rsid w:val="00325762"/>
    <w:rsid w:val="003259B9"/>
    <w:rsid w:val="00327C8A"/>
    <w:rsid w:val="0033017A"/>
    <w:rsid w:val="00330628"/>
    <w:rsid w:val="00331F07"/>
    <w:rsid w:val="00332BBF"/>
    <w:rsid w:val="00333148"/>
    <w:rsid w:val="0033540C"/>
    <w:rsid w:val="0033553F"/>
    <w:rsid w:val="00335E76"/>
    <w:rsid w:val="00335F60"/>
    <w:rsid w:val="0033621E"/>
    <w:rsid w:val="00337E0B"/>
    <w:rsid w:val="00337E4B"/>
    <w:rsid w:val="003411D9"/>
    <w:rsid w:val="00343C2A"/>
    <w:rsid w:val="00345462"/>
    <w:rsid w:val="0034586A"/>
    <w:rsid w:val="00345A52"/>
    <w:rsid w:val="003462BF"/>
    <w:rsid w:val="00346502"/>
    <w:rsid w:val="00346B16"/>
    <w:rsid w:val="00346C7D"/>
    <w:rsid w:val="003473F2"/>
    <w:rsid w:val="0035029E"/>
    <w:rsid w:val="0035064F"/>
    <w:rsid w:val="00351FB0"/>
    <w:rsid w:val="0035291C"/>
    <w:rsid w:val="003540E0"/>
    <w:rsid w:val="003553C1"/>
    <w:rsid w:val="0035578F"/>
    <w:rsid w:val="00355EBC"/>
    <w:rsid w:val="0035646A"/>
    <w:rsid w:val="00356CAF"/>
    <w:rsid w:val="00356F13"/>
    <w:rsid w:val="0035749D"/>
    <w:rsid w:val="00360BE0"/>
    <w:rsid w:val="0036197D"/>
    <w:rsid w:val="003625CB"/>
    <w:rsid w:val="003631E3"/>
    <w:rsid w:val="0036491B"/>
    <w:rsid w:val="003653B6"/>
    <w:rsid w:val="003679CC"/>
    <w:rsid w:val="00371461"/>
    <w:rsid w:val="00374234"/>
    <w:rsid w:val="003743CA"/>
    <w:rsid w:val="00374F9E"/>
    <w:rsid w:val="00375E20"/>
    <w:rsid w:val="00376480"/>
    <w:rsid w:val="0037660B"/>
    <w:rsid w:val="003766AF"/>
    <w:rsid w:val="003770A5"/>
    <w:rsid w:val="00377C80"/>
    <w:rsid w:val="00377EBC"/>
    <w:rsid w:val="003801B3"/>
    <w:rsid w:val="00380EC7"/>
    <w:rsid w:val="003836AB"/>
    <w:rsid w:val="0038462A"/>
    <w:rsid w:val="00384E72"/>
    <w:rsid w:val="00385D0C"/>
    <w:rsid w:val="003868AB"/>
    <w:rsid w:val="00387A30"/>
    <w:rsid w:val="00390E91"/>
    <w:rsid w:val="00391771"/>
    <w:rsid w:val="00394236"/>
    <w:rsid w:val="00395329"/>
    <w:rsid w:val="00396807"/>
    <w:rsid w:val="00397F42"/>
    <w:rsid w:val="003A109C"/>
    <w:rsid w:val="003A208C"/>
    <w:rsid w:val="003A2CDF"/>
    <w:rsid w:val="003A34BC"/>
    <w:rsid w:val="003A3BFC"/>
    <w:rsid w:val="003A477C"/>
    <w:rsid w:val="003A4AA6"/>
    <w:rsid w:val="003A4EEB"/>
    <w:rsid w:val="003A5B25"/>
    <w:rsid w:val="003A619D"/>
    <w:rsid w:val="003B2533"/>
    <w:rsid w:val="003B4793"/>
    <w:rsid w:val="003B530F"/>
    <w:rsid w:val="003B5E22"/>
    <w:rsid w:val="003B62EB"/>
    <w:rsid w:val="003C004C"/>
    <w:rsid w:val="003C1941"/>
    <w:rsid w:val="003C1F59"/>
    <w:rsid w:val="003C21B3"/>
    <w:rsid w:val="003C2F22"/>
    <w:rsid w:val="003C3001"/>
    <w:rsid w:val="003C3ED8"/>
    <w:rsid w:val="003C4D65"/>
    <w:rsid w:val="003C5792"/>
    <w:rsid w:val="003C6502"/>
    <w:rsid w:val="003D0501"/>
    <w:rsid w:val="003D0FB4"/>
    <w:rsid w:val="003D2737"/>
    <w:rsid w:val="003D2E49"/>
    <w:rsid w:val="003D31A6"/>
    <w:rsid w:val="003D45F2"/>
    <w:rsid w:val="003D4CC4"/>
    <w:rsid w:val="003D6434"/>
    <w:rsid w:val="003E22BA"/>
    <w:rsid w:val="003E36E0"/>
    <w:rsid w:val="003E3D10"/>
    <w:rsid w:val="003E3EB3"/>
    <w:rsid w:val="003E48EB"/>
    <w:rsid w:val="003E5002"/>
    <w:rsid w:val="003E5BA6"/>
    <w:rsid w:val="003E6011"/>
    <w:rsid w:val="003E7EDB"/>
    <w:rsid w:val="003F0260"/>
    <w:rsid w:val="003F073A"/>
    <w:rsid w:val="003F0B55"/>
    <w:rsid w:val="003F108C"/>
    <w:rsid w:val="003F29B6"/>
    <w:rsid w:val="003F317D"/>
    <w:rsid w:val="003F37F3"/>
    <w:rsid w:val="003F5B5E"/>
    <w:rsid w:val="003F666B"/>
    <w:rsid w:val="003F7CCB"/>
    <w:rsid w:val="00400F19"/>
    <w:rsid w:val="00401419"/>
    <w:rsid w:val="00401C97"/>
    <w:rsid w:val="00402213"/>
    <w:rsid w:val="00403A93"/>
    <w:rsid w:val="004042F8"/>
    <w:rsid w:val="00405545"/>
    <w:rsid w:val="00405A41"/>
    <w:rsid w:val="00406BCD"/>
    <w:rsid w:val="004076D2"/>
    <w:rsid w:val="004104A6"/>
    <w:rsid w:val="004117F1"/>
    <w:rsid w:val="00411EAE"/>
    <w:rsid w:val="004121F8"/>
    <w:rsid w:val="004126AE"/>
    <w:rsid w:val="004137B4"/>
    <w:rsid w:val="0041446C"/>
    <w:rsid w:val="004157AD"/>
    <w:rsid w:val="004175F7"/>
    <w:rsid w:val="00417D3A"/>
    <w:rsid w:val="004232A9"/>
    <w:rsid w:val="00423568"/>
    <w:rsid w:val="00424DCA"/>
    <w:rsid w:val="00425C53"/>
    <w:rsid w:val="00425C9F"/>
    <w:rsid w:val="00425CD1"/>
    <w:rsid w:val="00426671"/>
    <w:rsid w:val="004266AF"/>
    <w:rsid w:val="00426783"/>
    <w:rsid w:val="00427E69"/>
    <w:rsid w:val="004300A1"/>
    <w:rsid w:val="0043028C"/>
    <w:rsid w:val="0043035C"/>
    <w:rsid w:val="00430D6A"/>
    <w:rsid w:val="004333D3"/>
    <w:rsid w:val="00435FFF"/>
    <w:rsid w:val="00436E19"/>
    <w:rsid w:val="0044083E"/>
    <w:rsid w:val="00440F5C"/>
    <w:rsid w:val="00442B6F"/>
    <w:rsid w:val="0044378D"/>
    <w:rsid w:val="00444053"/>
    <w:rsid w:val="004441BA"/>
    <w:rsid w:val="00446449"/>
    <w:rsid w:val="00446B6C"/>
    <w:rsid w:val="004505DE"/>
    <w:rsid w:val="004509DA"/>
    <w:rsid w:val="004546F0"/>
    <w:rsid w:val="00457893"/>
    <w:rsid w:val="004600D3"/>
    <w:rsid w:val="00460277"/>
    <w:rsid w:val="0046174E"/>
    <w:rsid w:val="00461EDA"/>
    <w:rsid w:val="004635CA"/>
    <w:rsid w:val="00463FE2"/>
    <w:rsid w:val="00464314"/>
    <w:rsid w:val="00464F34"/>
    <w:rsid w:val="00466003"/>
    <w:rsid w:val="00466E9A"/>
    <w:rsid w:val="004670C2"/>
    <w:rsid w:val="00467A80"/>
    <w:rsid w:val="0047343B"/>
    <w:rsid w:val="00474091"/>
    <w:rsid w:val="0047426B"/>
    <w:rsid w:val="00475415"/>
    <w:rsid w:val="00477F61"/>
    <w:rsid w:val="004812B0"/>
    <w:rsid w:val="004816AE"/>
    <w:rsid w:val="00482887"/>
    <w:rsid w:val="0048315C"/>
    <w:rsid w:val="00484DB2"/>
    <w:rsid w:val="00486A3A"/>
    <w:rsid w:val="00490FE2"/>
    <w:rsid w:val="00491B06"/>
    <w:rsid w:val="00493589"/>
    <w:rsid w:val="00493EB1"/>
    <w:rsid w:val="00493FD9"/>
    <w:rsid w:val="00495148"/>
    <w:rsid w:val="00497879"/>
    <w:rsid w:val="004979A4"/>
    <w:rsid w:val="00497DD0"/>
    <w:rsid w:val="004A00EB"/>
    <w:rsid w:val="004A19D6"/>
    <w:rsid w:val="004A1E0C"/>
    <w:rsid w:val="004A3677"/>
    <w:rsid w:val="004A4365"/>
    <w:rsid w:val="004A444A"/>
    <w:rsid w:val="004A4F19"/>
    <w:rsid w:val="004A672D"/>
    <w:rsid w:val="004B079C"/>
    <w:rsid w:val="004B109B"/>
    <w:rsid w:val="004B390C"/>
    <w:rsid w:val="004B3AB0"/>
    <w:rsid w:val="004B3D8B"/>
    <w:rsid w:val="004B58D2"/>
    <w:rsid w:val="004B5D2A"/>
    <w:rsid w:val="004B65D2"/>
    <w:rsid w:val="004C237B"/>
    <w:rsid w:val="004C24EF"/>
    <w:rsid w:val="004C2841"/>
    <w:rsid w:val="004C2B44"/>
    <w:rsid w:val="004C2C30"/>
    <w:rsid w:val="004C557A"/>
    <w:rsid w:val="004C65E6"/>
    <w:rsid w:val="004C6C30"/>
    <w:rsid w:val="004C7222"/>
    <w:rsid w:val="004D1B3F"/>
    <w:rsid w:val="004D2748"/>
    <w:rsid w:val="004D522E"/>
    <w:rsid w:val="004D7370"/>
    <w:rsid w:val="004D7764"/>
    <w:rsid w:val="004D7CA2"/>
    <w:rsid w:val="004E1452"/>
    <w:rsid w:val="004E1E61"/>
    <w:rsid w:val="004E4435"/>
    <w:rsid w:val="004E65B2"/>
    <w:rsid w:val="004E6689"/>
    <w:rsid w:val="004F1EB5"/>
    <w:rsid w:val="004F328D"/>
    <w:rsid w:val="004F3C7A"/>
    <w:rsid w:val="004F5475"/>
    <w:rsid w:val="004F6B1E"/>
    <w:rsid w:val="004F7F8D"/>
    <w:rsid w:val="00500F73"/>
    <w:rsid w:val="00501D65"/>
    <w:rsid w:val="00501F15"/>
    <w:rsid w:val="005031DD"/>
    <w:rsid w:val="005064AE"/>
    <w:rsid w:val="005068E0"/>
    <w:rsid w:val="00506AC2"/>
    <w:rsid w:val="00506CDE"/>
    <w:rsid w:val="00506E3F"/>
    <w:rsid w:val="00510DFD"/>
    <w:rsid w:val="00511970"/>
    <w:rsid w:val="00512F66"/>
    <w:rsid w:val="00514875"/>
    <w:rsid w:val="0052121A"/>
    <w:rsid w:val="00524050"/>
    <w:rsid w:val="00524D2C"/>
    <w:rsid w:val="005251C8"/>
    <w:rsid w:val="00531A82"/>
    <w:rsid w:val="00531D7F"/>
    <w:rsid w:val="00531F39"/>
    <w:rsid w:val="00531F4C"/>
    <w:rsid w:val="00531FFE"/>
    <w:rsid w:val="0053253B"/>
    <w:rsid w:val="005328D3"/>
    <w:rsid w:val="00532ACD"/>
    <w:rsid w:val="00532EFC"/>
    <w:rsid w:val="005331CE"/>
    <w:rsid w:val="005335C6"/>
    <w:rsid w:val="00533D91"/>
    <w:rsid w:val="005350D2"/>
    <w:rsid w:val="00535AF3"/>
    <w:rsid w:val="00535C85"/>
    <w:rsid w:val="005365D2"/>
    <w:rsid w:val="00536B2F"/>
    <w:rsid w:val="00540F8E"/>
    <w:rsid w:val="00541CF5"/>
    <w:rsid w:val="005420C1"/>
    <w:rsid w:val="005423F4"/>
    <w:rsid w:val="00544108"/>
    <w:rsid w:val="00545F56"/>
    <w:rsid w:val="00547926"/>
    <w:rsid w:val="00547B2E"/>
    <w:rsid w:val="00550150"/>
    <w:rsid w:val="0055063E"/>
    <w:rsid w:val="005519CA"/>
    <w:rsid w:val="0055276F"/>
    <w:rsid w:val="00552B31"/>
    <w:rsid w:val="00552E41"/>
    <w:rsid w:val="00553DF1"/>
    <w:rsid w:val="005555D3"/>
    <w:rsid w:val="00555ECC"/>
    <w:rsid w:val="00556A8A"/>
    <w:rsid w:val="005573CD"/>
    <w:rsid w:val="00561A32"/>
    <w:rsid w:val="00564A02"/>
    <w:rsid w:val="00570083"/>
    <w:rsid w:val="00570BD6"/>
    <w:rsid w:val="00572824"/>
    <w:rsid w:val="00572893"/>
    <w:rsid w:val="00572961"/>
    <w:rsid w:val="00573387"/>
    <w:rsid w:val="005744DC"/>
    <w:rsid w:val="00575733"/>
    <w:rsid w:val="005772B1"/>
    <w:rsid w:val="0057731B"/>
    <w:rsid w:val="00580ADF"/>
    <w:rsid w:val="00584010"/>
    <w:rsid w:val="00585E1D"/>
    <w:rsid w:val="00590296"/>
    <w:rsid w:val="0059154F"/>
    <w:rsid w:val="005917A9"/>
    <w:rsid w:val="005944CB"/>
    <w:rsid w:val="00595DCD"/>
    <w:rsid w:val="00596294"/>
    <w:rsid w:val="0059749D"/>
    <w:rsid w:val="0059750C"/>
    <w:rsid w:val="0059757B"/>
    <w:rsid w:val="00597B07"/>
    <w:rsid w:val="00597C59"/>
    <w:rsid w:val="005A14ED"/>
    <w:rsid w:val="005A312B"/>
    <w:rsid w:val="005A4A5C"/>
    <w:rsid w:val="005A4E6F"/>
    <w:rsid w:val="005A512A"/>
    <w:rsid w:val="005A7D15"/>
    <w:rsid w:val="005B02C7"/>
    <w:rsid w:val="005B1A0F"/>
    <w:rsid w:val="005B1F13"/>
    <w:rsid w:val="005B2793"/>
    <w:rsid w:val="005B2F06"/>
    <w:rsid w:val="005B320E"/>
    <w:rsid w:val="005B3BCB"/>
    <w:rsid w:val="005B3E65"/>
    <w:rsid w:val="005B4146"/>
    <w:rsid w:val="005B4C27"/>
    <w:rsid w:val="005B73E0"/>
    <w:rsid w:val="005C0D1C"/>
    <w:rsid w:val="005C1247"/>
    <w:rsid w:val="005C1648"/>
    <w:rsid w:val="005C2E73"/>
    <w:rsid w:val="005C4461"/>
    <w:rsid w:val="005C50EE"/>
    <w:rsid w:val="005C75E4"/>
    <w:rsid w:val="005C7D5B"/>
    <w:rsid w:val="005D012A"/>
    <w:rsid w:val="005D067F"/>
    <w:rsid w:val="005D0F96"/>
    <w:rsid w:val="005D163B"/>
    <w:rsid w:val="005D1C90"/>
    <w:rsid w:val="005D47CD"/>
    <w:rsid w:val="005D5589"/>
    <w:rsid w:val="005D63FF"/>
    <w:rsid w:val="005E0F64"/>
    <w:rsid w:val="005E244B"/>
    <w:rsid w:val="005E4951"/>
    <w:rsid w:val="005E5291"/>
    <w:rsid w:val="005E72AA"/>
    <w:rsid w:val="005E7461"/>
    <w:rsid w:val="005E77F2"/>
    <w:rsid w:val="005E7B16"/>
    <w:rsid w:val="005E7FE4"/>
    <w:rsid w:val="005F09B6"/>
    <w:rsid w:val="005F12A5"/>
    <w:rsid w:val="005F1E0B"/>
    <w:rsid w:val="005F36D6"/>
    <w:rsid w:val="005F4D59"/>
    <w:rsid w:val="005F68F2"/>
    <w:rsid w:val="005F6AC6"/>
    <w:rsid w:val="006004C5"/>
    <w:rsid w:val="00600647"/>
    <w:rsid w:val="0060319C"/>
    <w:rsid w:val="00605064"/>
    <w:rsid w:val="006053D7"/>
    <w:rsid w:val="00606042"/>
    <w:rsid w:val="0060629E"/>
    <w:rsid w:val="0061029A"/>
    <w:rsid w:val="00610741"/>
    <w:rsid w:val="00610A97"/>
    <w:rsid w:val="0061164F"/>
    <w:rsid w:val="00613F74"/>
    <w:rsid w:val="0061471E"/>
    <w:rsid w:val="00615005"/>
    <w:rsid w:val="00615C62"/>
    <w:rsid w:val="00620C10"/>
    <w:rsid w:val="006210A9"/>
    <w:rsid w:val="00621C48"/>
    <w:rsid w:val="00626595"/>
    <w:rsid w:val="00627822"/>
    <w:rsid w:val="00632AE8"/>
    <w:rsid w:val="00632F7C"/>
    <w:rsid w:val="00633667"/>
    <w:rsid w:val="006338EE"/>
    <w:rsid w:val="0063396A"/>
    <w:rsid w:val="00633E9F"/>
    <w:rsid w:val="00634575"/>
    <w:rsid w:val="00634A1F"/>
    <w:rsid w:val="0063578A"/>
    <w:rsid w:val="00635B20"/>
    <w:rsid w:val="00637FF2"/>
    <w:rsid w:val="006400CF"/>
    <w:rsid w:val="00642190"/>
    <w:rsid w:val="006448DA"/>
    <w:rsid w:val="00645212"/>
    <w:rsid w:val="00646813"/>
    <w:rsid w:val="0064783C"/>
    <w:rsid w:val="00650A62"/>
    <w:rsid w:val="00651870"/>
    <w:rsid w:val="00653742"/>
    <w:rsid w:val="00654254"/>
    <w:rsid w:val="0065597F"/>
    <w:rsid w:val="00656086"/>
    <w:rsid w:val="00662454"/>
    <w:rsid w:val="0066663A"/>
    <w:rsid w:val="006702E5"/>
    <w:rsid w:val="0067101F"/>
    <w:rsid w:val="006715FA"/>
    <w:rsid w:val="00671BE1"/>
    <w:rsid w:val="00672A93"/>
    <w:rsid w:val="00674228"/>
    <w:rsid w:val="00674CE7"/>
    <w:rsid w:val="00675A82"/>
    <w:rsid w:val="00675C8A"/>
    <w:rsid w:val="00676575"/>
    <w:rsid w:val="0067674D"/>
    <w:rsid w:val="00681728"/>
    <w:rsid w:val="00681911"/>
    <w:rsid w:val="00683535"/>
    <w:rsid w:val="006836A5"/>
    <w:rsid w:val="00683723"/>
    <w:rsid w:val="006843C6"/>
    <w:rsid w:val="006850A7"/>
    <w:rsid w:val="00685826"/>
    <w:rsid w:val="006859C5"/>
    <w:rsid w:val="0068733A"/>
    <w:rsid w:val="006902BE"/>
    <w:rsid w:val="00690368"/>
    <w:rsid w:val="00691097"/>
    <w:rsid w:val="00691112"/>
    <w:rsid w:val="0069476D"/>
    <w:rsid w:val="0069582E"/>
    <w:rsid w:val="00695E62"/>
    <w:rsid w:val="0069697A"/>
    <w:rsid w:val="00696DA3"/>
    <w:rsid w:val="006A096D"/>
    <w:rsid w:val="006A3F37"/>
    <w:rsid w:val="006A49B1"/>
    <w:rsid w:val="006A49BA"/>
    <w:rsid w:val="006A633D"/>
    <w:rsid w:val="006A64C6"/>
    <w:rsid w:val="006A7049"/>
    <w:rsid w:val="006A79AA"/>
    <w:rsid w:val="006B07B7"/>
    <w:rsid w:val="006B2C69"/>
    <w:rsid w:val="006B3593"/>
    <w:rsid w:val="006B4017"/>
    <w:rsid w:val="006B4D60"/>
    <w:rsid w:val="006B642C"/>
    <w:rsid w:val="006B6615"/>
    <w:rsid w:val="006B6CED"/>
    <w:rsid w:val="006C0CF4"/>
    <w:rsid w:val="006C17F4"/>
    <w:rsid w:val="006C1C3B"/>
    <w:rsid w:val="006C4750"/>
    <w:rsid w:val="006C4BE7"/>
    <w:rsid w:val="006C5339"/>
    <w:rsid w:val="006C5C20"/>
    <w:rsid w:val="006C75A6"/>
    <w:rsid w:val="006C7A0F"/>
    <w:rsid w:val="006D05EF"/>
    <w:rsid w:val="006D20C6"/>
    <w:rsid w:val="006D3FA1"/>
    <w:rsid w:val="006D5ECD"/>
    <w:rsid w:val="006D6E9A"/>
    <w:rsid w:val="006D7555"/>
    <w:rsid w:val="006E1DBF"/>
    <w:rsid w:val="006E3010"/>
    <w:rsid w:val="006E318F"/>
    <w:rsid w:val="006E3371"/>
    <w:rsid w:val="006E440C"/>
    <w:rsid w:val="006E49C1"/>
    <w:rsid w:val="006E6C82"/>
    <w:rsid w:val="006E6FD0"/>
    <w:rsid w:val="006F01F6"/>
    <w:rsid w:val="006F02CA"/>
    <w:rsid w:val="006F0392"/>
    <w:rsid w:val="006F1A5F"/>
    <w:rsid w:val="006F3358"/>
    <w:rsid w:val="006F3A39"/>
    <w:rsid w:val="006F5C76"/>
    <w:rsid w:val="00700259"/>
    <w:rsid w:val="007002EC"/>
    <w:rsid w:val="00700E38"/>
    <w:rsid w:val="00701337"/>
    <w:rsid w:val="00701E97"/>
    <w:rsid w:val="0070292E"/>
    <w:rsid w:val="00703C65"/>
    <w:rsid w:val="00705224"/>
    <w:rsid w:val="0070544F"/>
    <w:rsid w:val="00705FC3"/>
    <w:rsid w:val="007078C0"/>
    <w:rsid w:val="00707B4C"/>
    <w:rsid w:val="00710766"/>
    <w:rsid w:val="00712236"/>
    <w:rsid w:val="00712BEE"/>
    <w:rsid w:val="0071405F"/>
    <w:rsid w:val="007155F9"/>
    <w:rsid w:val="007200A9"/>
    <w:rsid w:val="007205F2"/>
    <w:rsid w:val="007211F3"/>
    <w:rsid w:val="007213F4"/>
    <w:rsid w:val="00723228"/>
    <w:rsid w:val="007246B8"/>
    <w:rsid w:val="00724E6F"/>
    <w:rsid w:val="007256A4"/>
    <w:rsid w:val="007265CD"/>
    <w:rsid w:val="00726671"/>
    <w:rsid w:val="007269B6"/>
    <w:rsid w:val="00727CDE"/>
    <w:rsid w:val="00727D9B"/>
    <w:rsid w:val="00731973"/>
    <w:rsid w:val="00733B25"/>
    <w:rsid w:val="0073438A"/>
    <w:rsid w:val="007346D6"/>
    <w:rsid w:val="007349BC"/>
    <w:rsid w:val="007357CD"/>
    <w:rsid w:val="007372BF"/>
    <w:rsid w:val="00737558"/>
    <w:rsid w:val="007375E3"/>
    <w:rsid w:val="00740202"/>
    <w:rsid w:val="007409FC"/>
    <w:rsid w:val="00740B8A"/>
    <w:rsid w:val="00744C7F"/>
    <w:rsid w:val="007451F9"/>
    <w:rsid w:val="00745D03"/>
    <w:rsid w:val="00745D7B"/>
    <w:rsid w:val="00746E26"/>
    <w:rsid w:val="00747B62"/>
    <w:rsid w:val="00747BEC"/>
    <w:rsid w:val="00750E5A"/>
    <w:rsid w:val="007510DB"/>
    <w:rsid w:val="0075162F"/>
    <w:rsid w:val="007516D1"/>
    <w:rsid w:val="00753DFF"/>
    <w:rsid w:val="00754683"/>
    <w:rsid w:val="00754C89"/>
    <w:rsid w:val="00757387"/>
    <w:rsid w:val="0076052E"/>
    <w:rsid w:val="00760647"/>
    <w:rsid w:val="00760757"/>
    <w:rsid w:val="00762097"/>
    <w:rsid w:val="0076244F"/>
    <w:rsid w:val="00765D23"/>
    <w:rsid w:val="0076766F"/>
    <w:rsid w:val="00767A13"/>
    <w:rsid w:val="00770BF1"/>
    <w:rsid w:val="00770F19"/>
    <w:rsid w:val="007710FB"/>
    <w:rsid w:val="007711A3"/>
    <w:rsid w:val="00771373"/>
    <w:rsid w:val="0077352B"/>
    <w:rsid w:val="00774BD1"/>
    <w:rsid w:val="00777F50"/>
    <w:rsid w:val="007800F1"/>
    <w:rsid w:val="00781DC3"/>
    <w:rsid w:val="00782010"/>
    <w:rsid w:val="00782513"/>
    <w:rsid w:val="00782D26"/>
    <w:rsid w:val="00784B1F"/>
    <w:rsid w:val="00785DDB"/>
    <w:rsid w:val="00786D47"/>
    <w:rsid w:val="00790DBD"/>
    <w:rsid w:val="00791096"/>
    <w:rsid w:val="00791264"/>
    <w:rsid w:val="00791CF7"/>
    <w:rsid w:val="007923DE"/>
    <w:rsid w:val="00792F24"/>
    <w:rsid w:val="00796543"/>
    <w:rsid w:val="00796A0A"/>
    <w:rsid w:val="007975D7"/>
    <w:rsid w:val="007A04EA"/>
    <w:rsid w:val="007A256D"/>
    <w:rsid w:val="007A37F1"/>
    <w:rsid w:val="007A4C1D"/>
    <w:rsid w:val="007A4ED6"/>
    <w:rsid w:val="007A5777"/>
    <w:rsid w:val="007A5FEE"/>
    <w:rsid w:val="007B0AE0"/>
    <w:rsid w:val="007B4BA1"/>
    <w:rsid w:val="007B518B"/>
    <w:rsid w:val="007B5676"/>
    <w:rsid w:val="007B6CF6"/>
    <w:rsid w:val="007B6D34"/>
    <w:rsid w:val="007B78D2"/>
    <w:rsid w:val="007B7F8D"/>
    <w:rsid w:val="007C0501"/>
    <w:rsid w:val="007C11F8"/>
    <w:rsid w:val="007C135B"/>
    <w:rsid w:val="007C1E47"/>
    <w:rsid w:val="007C2530"/>
    <w:rsid w:val="007C2760"/>
    <w:rsid w:val="007C3C9F"/>
    <w:rsid w:val="007C4667"/>
    <w:rsid w:val="007C6CCB"/>
    <w:rsid w:val="007D19F7"/>
    <w:rsid w:val="007D2E1B"/>
    <w:rsid w:val="007D34F7"/>
    <w:rsid w:val="007D44E5"/>
    <w:rsid w:val="007D5D30"/>
    <w:rsid w:val="007D65A0"/>
    <w:rsid w:val="007D6646"/>
    <w:rsid w:val="007D79BB"/>
    <w:rsid w:val="007D79D8"/>
    <w:rsid w:val="007E0790"/>
    <w:rsid w:val="007E0E34"/>
    <w:rsid w:val="007E1D88"/>
    <w:rsid w:val="007E3A03"/>
    <w:rsid w:val="007E3ABD"/>
    <w:rsid w:val="007E5041"/>
    <w:rsid w:val="007E62CE"/>
    <w:rsid w:val="007E73E8"/>
    <w:rsid w:val="007F1676"/>
    <w:rsid w:val="007F2C6F"/>
    <w:rsid w:val="007F32C8"/>
    <w:rsid w:val="007F3A6D"/>
    <w:rsid w:val="007F400C"/>
    <w:rsid w:val="007F443E"/>
    <w:rsid w:val="007F446F"/>
    <w:rsid w:val="007F4E43"/>
    <w:rsid w:val="007F4F4C"/>
    <w:rsid w:val="007F4FD7"/>
    <w:rsid w:val="007F59C5"/>
    <w:rsid w:val="007F64AF"/>
    <w:rsid w:val="007F7921"/>
    <w:rsid w:val="00800099"/>
    <w:rsid w:val="00801FBC"/>
    <w:rsid w:val="00802419"/>
    <w:rsid w:val="00802E75"/>
    <w:rsid w:val="00803952"/>
    <w:rsid w:val="0080554B"/>
    <w:rsid w:val="00805A9C"/>
    <w:rsid w:val="00806570"/>
    <w:rsid w:val="0080747D"/>
    <w:rsid w:val="00807A56"/>
    <w:rsid w:val="00812E09"/>
    <w:rsid w:val="00813026"/>
    <w:rsid w:val="008137AF"/>
    <w:rsid w:val="008156E4"/>
    <w:rsid w:val="00820C8E"/>
    <w:rsid w:val="008214D7"/>
    <w:rsid w:val="00821AEE"/>
    <w:rsid w:val="00821DFB"/>
    <w:rsid w:val="00822147"/>
    <w:rsid w:val="00823712"/>
    <w:rsid w:val="00823C2E"/>
    <w:rsid w:val="00823C9B"/>
    <w:rsid w:val="00824792"/>
    <w:rsid w:val="00824A07"/>
    <w:rsid w:val="00824BE9"/>
    <w:rsid w:val="0082593D"/>
    <w:rsid w:val="00825E6F"/>
    <w:rsid w:val="00827D55"/>
    <w:rsid w:val="00830AFB"/>
    <w:rsid w:val="00832643"/>
    <w:rsid w:val="0083550F"/>
    <w:rsid w:val="0083563A"/>
    <w:rsid w:val="0083648F"/>
    <w:rsid w:val="0084064C"/>
    <w:rsid w:val="0084202C"/>
    <w:rsid w:val="0084278A"/>
    <w:rsid w:val="00843AD3"/>
    <w:rsid w:val="0084449C"/>
    <w:rsid w:val="008461DF"/>
    <w:rsid w:val="00847D12"/>
    <w:rsid w:val="008511B5"/>
    <w:rsid w:val="008513D8"/>
    <w:rsid w:val="0085335F"/>
    <w:rsid w:val="00853481"/>
    <w:rsid w:val="00853525"/>
    <w:rsid w:val="00853AB8"/>
    <w:rsid w:val="008560B2"/>
    <w:rsid w:val="00857D91"/>
    <w:rsid w:val="00860203"/>
    <w:rsid w:val="008602F4"/>
    <w:rsid w:val="008619B3"/>
    <w:rsid w:val="00861A34"/>
    <w:rsid w:val="00861E7A"/>
    <w:rsid w:val="0086245A"/>
    <w:rsid w:val="00862710"/>
    <w:rsid w:val="008635E8"/>
    <w:rsid w:val="00863769"/>
    <w:rsid w:val="00863CB2"/>
    <w:rsid w:val="008655B1"/>
    <w:rsid w:val="00865B29"/>
    <w:rsid w:val="0086645C"/>
    <w:rsid w:val="008677C0"/>
    <w:rsid w:val="00867AB6"/>
    <w:rsid w:val="008714F9"/>
    <w:rsid w:val="008719E9"/>
    <w:rsid w:val="00871CD8"/>
    <w:rsid w:val="00872D7A"/>
    <w:rsid w:val="0087304F"/>
    <w:rsid w:val="008739DB"/>
    <w:rsid w:val="0087421C"/>
    <w:rsid w:val="00875898"/>
    <w:rsid w:val="00875D74"/>
    <w:rsid w:val="0087671F"/>
    <w:rsid w:val="0087792E"/>
    <w:rsid w:val="008823EC"/>
    <w:rsid w:val="00885DA7"/>
    <w:rsid w:val="008861D7"/>
    <w:rsid w:val="0088620D"/>
    <w:rsid w:val="00886A87"/>
    <w:rsid w:val="00887110"/>
    <w:rsid w:val="008872C5"/>
    <w:rsid w:val="0089306D"/>
    <w:rsid w:val="008938E3"/>
    <w:rsid w:val="00894150"/>
    <w:rsid w:val="00895758"/>
    <w:rsid w:val="00896DB4"/>
    <w:rsid w:val="008972CB"/>
    <w:rsid w:val="008A0CF7"/>
    <w:rsid w:val="008A29CE"/>
    <w:rsid w:val="008A3EF8"/>
    <w:rsid w:val="008A5391"/>
    <w:rsid w:val="008B03F1"/>
    <w:rsid w:val="008B3518"/>
    <w:rsid w:val="008B4471"/>
    <w:rsid w:val="008B5406"/>
    <w:rsid w:val="008B5D53"/>
    <w:rsid w:val="008B66AE"/>
    <w:rsid w:val="008B7104"/>
    <w:rsid w:val="008B7B12"/>
    <w:rsid w:val="008C1C51"/>
    <w:rsid w:val="008C3AFC"/>
    <w:rsid w:val="008C6704"/>
    <w:rsid w:val="008C71B9"/>
    <w:rsid w:val="008C7EF1"/>
    <w:rsid w:val="008D1C4D"/>
    <w:rsid w:val="008D1DE7"/>
    <w:rsid w:val="008D3D93"/>
    <w:rsid w:val="008D77D2"/>
    <w:rsid w:val="008D7CBA"/>
    <w:rsid w:val="008E00FA"/>
    <w:rsid w:val="008E3247"/>
    <w:rsid w:val="008E3833"/>
    <w:rsid w:val="008E4513"/>
    <w:rsid w:val="008F1208"/>
    <w:rsid w:val="008F15B3"/>
    <w:rsid w:val="008F1DB8"/>
    <w:rsid w:val="008F2BA6"/>
    <w:rsid w:val="008F3073"/>
    <w:rsid w:val="008F329F"/>
    <w:rsid w:val="008F39E4"/>
    <w:rsid w:val="008F48FD"/>
    <w:rsid w:val="008F56BA"/>
    <w:rsid w:val="008F6456"/>
    <w:rsid w:val="008F6AA8"/>
    <w:rsid w:val="009001B3"/>
    <w:rsid w:val="0090193D"/>
    <w:rsid w:val="00901E20"/>
    <w:rsid w:val="00903A2F"/>
    <w:rsid w:val="00904CD3"/>
    <w:rsid w:val="0090638A"/>
    <w:rsid w:val="00911583"/>
    <w:rsid w:val="00911CED"/>
    <w:rsid w:val="00911F44"/>
    <w:rsid w:val="00912A59"/>
    <w:rsid w:val="009136B4"/>
    <w:rsid w:val="00913982"/>
    <w:rsid w:val="00915C5D"/>
    <w:rsid w:val="00917982"/>
    <w:rsid w:val="00917C24"/>
    <w:rsid w:val="00920A73"/>
    <w:rsid w:val="009236FA"/>
    <w:rsid w:val="0092512A"/>
    <w:rsid w:val="009255FE"/>
    <w:rsid w:val="00927AB3"/>
    <w:rsid w:val="00934F51"/>
    <w:rsid w:val="00936258"/>
    <w:rsid w:val="00936A44"/>
    <w:rsid w:val="00936EAC"/>
    <w:rsid w:val="00936F43"/>
    <w:rsid w:val="009374ED"/>
    <w:rsid w:val="00940842"/>
    <w:rsid w:val="00941982"/>
    <w:rsid w:val="00942035"/>
    <w:rsid w:val="0094314F"/>
    <w:rsid w:val="0094651F"/>
    <w:rsid w:val="00946B7F"/>
    <w:rsid w:val="00946BF9"/>
    <w:rsid w:val="009470BD"/>
    <w:rsid w:val="0094715E"/>
    <w:rsid w:val="009505B7"/>
    <w:rsid w:val="00950CDA"/>
    <w:rsid w:val="0095128F"/>
    <w:rsid w:val="009524B7"/>
    <w:rsid w:val="0095412A"/>
    <w:rsid w:val="00954A20"/>
    <w:rsid w:val="00957370"/>
    <w:rsid w:val="0096025B"/>
    <w:rsid w:val="009607DC"/>
    <w:rsid w:val="0096156E"/>
    <w:rsid w:val="0096184E"/>
    <w:rsid w:val="00961A41"/>
    <w:rsid w:val="00963617"/>
    <w:rsid w:val="009647D0"/>
    <w:rsid w:val="00964C48"/>
    <w:rsid w:val="00967985"/>
    <w:rsid w:val="00967AF3"/>
    <w:rsid w:val="0097114F"/>
    <w:rsid w:val="00971299"/>
    <w:rsid w:val="00971DDD"/>
    <w:rsid w:val="0097242E"/>
    <w:rsid w:val="009728EE"/>
    <w:rsid w:val="00975FC9"/>
    <w:rsid w:val="00976C56"/>
    <w:rsid w:val="00976D64"/>
    <w:rsid w:val="00977551"/>
    <w:rsid w:val="00977DC5"/>
    <w:rsid w:val="00980001"/>
    <w:rsid w:val="00981986"/>
    <w:rsid w:val="00982613"/>
    <w:rsid w:val="009832F0"/>
    <w:rsid w:val="00984AC4"/>
    <w:rsid w:val="00985AB2"/>
    <w:rsid w:val="009862E7"/>
    <w:rsid w:val="00986C32"/>
    <w:rsid w:val="0098735A"/>
    <w:rsid w:val="00987E2C"/>
    <w:rsid w:val="00987E8F"/>
    <w:rsid w:val="00991B8A"/>
    <w:rsid w:val="009929AA"/>
    <w:rsid w:val="00993F3D"/>
    <w:rsid w:val="009946A2"/>
    <w:rsid w:val="00994A76"/>
    <w:rsid w:val="00995550"/>
    <w:rsid w:val="00995F66"/>
    <w:rsid w:val="00997676"/>
    <w:rsid w:val="009979A8"/>
    <w:rsid w:val="009A12F6"/>
    <w:rsid w:val="009A15EB"/>
    <w:rsid w:val="009A3EF6"/>
    <w:rsid w:val="009A564D"/>
    <w:rsid w:val="009A791A"/>
    <w:rsid w:val="009B0904"/>
    <w:rsid w:val="009B21DD"/>
    <w:rsid w:val="009B3A4E"/>
    <w:rsid w:val="009B3E16"/>
    <w:rsid w:val="009B471A"/>
    <w:rsid w:val="009B48E4"/>
    <w:rsid w:val="009B5B69"/>
    <w:rsid w:val="009B629D"/>
    <w:rsid w:val="009B70A4"/>
    <w:rsid w:val="009B711B"/>
    <w:rsid w:val="009B7592"/>
    <w:rsid w:val="009B7915"/>
    <w:rsid w:val="009B7B10"/>
    <w:rsid w:val="009B7E0D"/>
    <w:rsid w:val="009C11D1"/>
    <w:rsid w:val="009C1931"/>
    <w:rsid w:val="009C2171"/>
    <w:rsid w:val="009C3591"/>
    <w:rsid w:val="009C371B"/>
    <w:rsid w:val="009C4720"/>
    <w:rsid w:val="009C508B"/>
    <w:rsid w:val="009D35C7"/>
    <w:rsid w:val="009D3FBC"/>
    <w:rsid w:val="009D574A"/>
    <w:rsid w:val="009D58E3"/>
    <w:rsid w:val="009D6B8E"/>
    <w:rsid w:val="009D76B4"/>
    <w:rsid w:val="009E0DCE"/>
    <w:rsid w:val="009E0E0E"/>
    <w:rsid w:val="009E182A"/>
    <w:rsid w:val="009E2EE4"/>
    <w:rsid w:val="009E3709"/>
    <w:rsid w:val="009E447C"/>
    <w:rsid w:val="009E4702"/>
    <w:rsid w:val="009E507A"/>
    <w:rsid w:val="009E51F6"/>
    <w:rsid w:val="009E71F1"/>
    <w:rsid w:val="009E7B00"/>
    <w:rsid w:val="009F21B4"/>
    <w:rsid w:val="009F2325"/>
    <w:rsid w:val="009F2584"/>
    <w:rsid w:val="009F40FF"/>
    <w:rsid w:val="009F571E"/>
    <w:rsid w:val="009F5740"/>
    <w:rsid w:val="009F597F"/>
    <w:rsid w:val="009F6831"/>
    <w:rsid w:val="00A004BE"/>
    <w:rsid w:val="00A009C5"/>
    <w:rsid w:val="00A00A31"/>
    <w:rsid w:val="00A00B8E"/>
    <w:rsid w:val="00A018B2"/>
    <w:rsid w:val="00A02666"/>
    <w:rsid w:val="00A0306E"/>
    <w:rsid w:val="00A03D77"/>
    <w:rsid w:val="00A03F07"/>
    <w:rsid w:val="00A04EC4"/>
    <w:rsid w:val="00A050FE"/>
    <w:rsid w:val="00A05A6C"/>
    <w:rsid w:val="00A07222"/>
    <w:rsid w:val="00A1266B"/>
    <w:rsid w:val="00A131D1"/>
    <w:rsid w:val="00A14D01"/>
    <w:rsid w:val="00A153AC"/>
    <w:rsid w:val="00A16FE2"/>
    <w:rsid w:val="00A17C0C"/>
    <w:rsid w:val="00A21913"/>
    <w:rsid w:val="00A23899"/>
    <w:rsid w:val="00A241A5"/>
    <w:rsid w:val="00A24399"/>
    <w:rsid w:val="00A255DC"/>
    <w:rsid w:val="00A25B5F"/>
    <w:rsid w:val="00A266CA"/>
    <w:rsid w:val="00A27318"/>
    <w:rsid w:val="00A3003D"/>
    <w:rsid w:val="00A309E9"/>
    <w:rsid w:val="00A30B4E"/>
    <w:rsid w:val="00A316EE"/>
    <w:rsid w:val="00A31EEF"/>
    <w:rsid w:val="00A3476D"/>
    <w:rsid w:val="00A35C63"/>
    <w:rsid w:val="00A3642E"/>
    <w:rsid w:val="00A36E4C"/>
    <w:rsid w:val="00A3711D"/>
    <w:rsid w:val="00A3743E"/>
    <w:rsid w:val="00A40848"/>
    <w:rsid w:val="00A41773"/>
    <w:rsid w:val="00A43DF0"/>
    <w:rsid w:val="00A448F2"/>
    <w:rsid w:val="00A44BB4"/>
    <w:rsid w:val="00A45BDD"/>
    <w:rsid w:val="00A46CBC"/>
    <w:rsid w:val="00A4739A"/>
    <w:rsid w:val="00A50306"/>
    <w:rsid w:val="00A5048A"/>
    <w:rsid w:val="00A50931"/>
    <w:rsid w:val="00A519C7"/>
    <w:rsid w:val="00A52EC4"/>
    <w:rsid w:val="00A531DD"/>
    <w:rsid w:val="00A540C0"/>
    <w:rsid w:val="00A549C7"/>
    <w:rsid w:val="00A55EEE"/>
    <w:rsid w:val="00A56666"/>
    <w:rsid w:val="00A5675A"/>
    <w:rsid w:val="00A56DA7"/>
    <w:rsid w:val="00A571AF"/>
    <w:rsid w:val="00A61D6F"/>
    <w:rsid w:val="00A63754"/>
    <w:rsid w:val="00A64C3C"/>
    <w:rsid w:val="00A65DB4"/>
    <w:rsid w:val="00A675C4"/>
    <w:rsid w:val="00A67740"/>
    <w:rsid w:val="00A70A10"/>
    <w:rsid w:val="00A70D0C"/>
    <w:rsid w:val="00A7406D"/>
    <w:rsid w:val="00A76081"/>
    <w:rsid w:val="00A760BA"/>
    <w:rsid w:val="00A768ED"/>
    <w:rsid w:val="00A76B69"/>
    <w:rsid w:val="00A77A60"/>
    <w:rsid w:val="00A8026F"/>
    <w:rsid w:val="00A80327"/>
    <w:rsid w:val="00A815CF"/>
    <w:rsid w:val="00A82001"/>
    <w:rsid w:val="00A820CE"/>
    <w:rsid w:val="00A83F1A"/>
    <w:rsid w:val="00A84736"/>
    <w:rsid w:val="00A84A48"/>
    <w:rsid w:val="00A84B94"/>
    <w:rsid w:val="00A84FF2"/>
    <w:rsid w:val="00A8526F"/>
    <w:rsid w:val="00A86759"/>
    <w:rsid w:val="00A869D6"/>
    <w:rsid w:val="00A87AAF"/>
    <w:rsid w:val="00A87EE5"/>
    <w:rsid w:val="00A913EB"/>
    <w:rsid w:val="00A9175C"/>
    <w:rsid w:val="00A91C3F"/>
    <w:rsid w:val="00A93215"/>
    <w:rsid w:val="00A951BD"/>
    <w:rsid w:val="00A95C47"/>
    <w:rsid w:val="00A96A09"/>
    <w:rsid w:val="00AA0495"/>
    <w:rsid w:val="00AA0676"/>
    <w:rsid w:val="00AA2C66"/>
    <w:rsid w:val="00AA3965"/>
    <w:rsid w:val="00AA3C4D"/>
    <w:rsid w:val="00AA598E"/>
    <w:rsid w:val="00AA60B1"/>
    <w:rsid w:val="00AA6CA8"/>
    <w:rsid w:val="00AB030A"/>
    <w:rsid w:val="00AB0920"/>
    <w:rsid w:val="00AB0A33"/>
    <w:rsid w:val="00AB277F"/>
    <w:rsid w:val="00AB3935"/>
    <w:rsid w:val="00AB5114"/>
    <w:rsid w:val="00AB55E3"/>
    <w:rsid w:val="00AB6D87"/>
    <w:rsid w:val="00AB7326"/>
    <w:rsid w:val="00AB7A1A"/>
    <w:rsid w:val="00AB7BAC"/>
    <w:rsid w:val="00AC1B82"/>
    <w:rsid w:val="00AC3794"/>
    <w:rsid w:val="00AC3BB7"/>
    <w:rsid w:val="00AC6BE3"/>
    <w:rsid w:val="00AC78CE"/>
    <w:rsid w:val="00AD0659"/>
    <w:rsid w:val="00AD094C"/>
    <w:rsid w:val="00AD1041"/>
    <w:rsid w:val="00AD1702"/>
    <w:rsid w:val="00AD25CB"/>
    <w:rsid w:val="00AD3520"/>
    <w:rsid w:val="00AD423B"/>
    <w:rsid w:val="00AD44C5"/>
    <w:rsid w:val="00AD503B"/>
    <w:rsid w:val="00AD6B6A"/>
    <w:rsid w:val="00AE30CE"/>
    <w:rsid w:val="00AE381A"/>
    <w:rsid w:val="00AE5659"/>
    <w:rsid w:val="00AE69CA"/>
    <w:rsid w:val="00AE6BF5"/>
    <w:rsid w:val="00AE736D"/>
    <w:rsid w:val="00AF11B6"/>
    <w:rsid w:val="00AF1ABE"/>
    <w:rsid w:val="00AF2C37"/>
    <w:rsid w:val="00AF5D7D"/>
    <w:rsid w:val="00B02655"/>
    <w:rsid w:val="00B04C4B"/>
    <w:rsid w:val="00B07BC0"/>
    <w:rsid w:val="00B108CE"/>
    <w:rsid w:val="00B1198A"/>
    <w:rsid w:val="00B147C4"/>
    <w:rsid w:val="00B14B4D"/>
    <w:rsid w:val="00B17A3D"/>
    <w:rsid w:val="00B21E3C"/>
    <w:rsid w:val="00B2243E"/>
    <w:rsid w:val="00B2308C"/>
    <w:rsid w:val="00B236E1"/>
    <w:rsid w:val="00B23C87"/>
    <w:rsid w:val="00B24623"/>
    <w:rsid w:val="00B24938"/>
    <w:rsid w:val="00B26831"/>
    <w:rsid w:val="00B273E7"/>
    <w:rsid w:val="00B27FFE"/>
    <w:rsid w:val="00B307E6"/>
    <w:rsid w:val="00B30C7D"/>
    <w:rsid w:val="00B31B88"/>
    <w:rsid w:val="00B329CF"/>
    <w:rsid w:val="00B340C3"/>
    <w:rsid w:val="00B35AE9"/>
    <w:rsid w:val="00B44B60"/>
    <w:rsid w:val="00B44CEF"/>
    <w:rsid w:val="00B46C4F"/>
    <w:rsid w:val="00B472F0"/>
    <w:rsid w:val="00B5020D"/>
    <w:rsid w:val="00B5362C"/>
    <w:rsid w:val="00B5672D"/>
    <w:rsid w:val="00B60A4E"/>
    <w:rsid w:val="00B642EE"/>
    <w:rsid w:val="00B653B2"/>
    <w:rsid w:val="00B654D0"/>
    <w:rsid w:val="00B654F4"/>
    <w:rsid w:val="00B6575B"/>
    <w:rsid w:val="00B66AC1"/>
    <w:rsid w:val="00B67B64"/>
    <w:rsid w:val="00B71D57"/>
    <w:rsid w:val="00B72F7A"/>
    <w:rsid w:val="00B737D6"/>
    <w:rsid w:val="00B75528"/>
    <w:rsid w:val="00B75C83"/>
    <w:rsid w:val="00B761A6"/>
    <w:rsid w:val="00B766DE"/>
    <w:rsid w:val="00B767DC"/>
    <w:rsid w:val="00B76C77"/>
    <w:rsid w:val="00B76D7B"/>
    <w:rsid w:val="00B80DFB"/>
    <w:rsid w:val="00B812D6"/>
    <w:rsid w:val="00B81E60"/>
    <w:rsid w:val="00B825B0"/>
    <w:rsid w:val="00B859E9"/>
    <w:rsid w:val="00B85AB7"/>
    <w:rsid w:val="00B860DD"/>
    <w:rsid w:val="00B86975"/>
    <w:rsid w:val="00B87704"/>
    <w:rsid w:val="00B90A18"/>
    <w:rsid w:val="00B91533"/>
    <w:rsid w:val="00B92CC3"/>
    <w:rsid w:val="00BA006B"/>
    <w:rsid w:val="00BA0464"/>
    <w:rsid w:val="00BA2A7F"/>
    <w:rsid w:val="00BA2B42"/>
    <w:rsid w:val="00BA2C13"/>
    <w:rsid w:val="00BA377F"/>
    <w:rsid w:val="00BA42FB"/>
    <w:rsid w:val="00BA447B"/>
    <w:rsid w:val="00BA47A5"/>
    <w:rsid w:val="00BA6785"/>
    <w:rsid w:val="00BB075C"/>
    <w:rsid w:val="00BB0D47"/>
    <w:rsid w:val="00BB11D2"/>
    <w:rsid w:val="00BB5307"/>
    <w:rsid w:val="00BC03C5"/>
    <w:rsid w:val="00BC0B7C"/>
    <w:rsid w:val="00BC1DCF"/>
    <w:rsid w:val="00BC2219"/>
    <w:rsid w:val="00BC24F9"/>
    <w:rsid w:val="00BC36D3"/>
    <w:rsid w:val="00BC3B02"/>
    <w:rsid w:val="00BC3F54"/>
    <w:rsid w:val="00BC49A0"/>
    <w:rsid w:val="00BC65BA"/>
    <w:rsid w:val="00BC77F3"/>
    <w:rsid w:val="00BC7CA2"/>
    <w:rsid w:val="00BD2502"/>
    <w:rsid w:val="00BD36A9"/>
    <w:rsid w:val="00BD536A"/>
    <w:rsid w:val="00BD53A1"/>
    <w:rsid w:val="00BD5707"/>
    <w:rsid w:val="00BD5FB4"/>
    <w:rsid w:val="00BD68FB"/>
    <w:rsid w:val="00BD78F0"/>
    <w:rsid w:val="00BE07CF"/>
    <w:rsid w:val="00BE153A"/>
    <w:rsid w:val="00BE3384"/>
    <w:rsid w:val="00BE3C5B"/>
    <w:rsid w:val="00BE4C02"/>
    <w:rsid w:val="00BE5336"/>
    <w:rsid w:val="00BE6F8D"/>
    <w:rsid w:val="00BF0CEA"/>
    <w:rsid w:val="00BF171A"/>
    <w:rsid w:val="00BF1B1D"/>
    <w:rsid w:val="00BF34BE"/>
    <w:rsid w:val="00C008BB"/>
    <w:rsid w:val="00C0115A"/>
    <w:rsid w:val="00C01AA1"/>
    <w:rsid w:val="00C01C68"/>
    <w:rsid w:val="00C031A8"/>
    <w:rsid w:val="00C04750"/>
    <w:rsid w:val="00C05133"/>
    <w:rsid w:val="00C056BB"/>
    <w:rsid w:val="00C0690E"/>
    <w:rsid w:val="00C10D04"/>
    <w:rsid w:val="00C13156"/>
    <w:rsid w:val="00C141C0"/>
    <w:rsid w:val="00C144BF"/>
    <w:rsid w:val="00C1520C"/>
    <w:rsid w:val="00C155D8"/>
    <w:rsid w:val="00C165E7"/>
    <w:rsid w:val="00C16B97"/>
    <w:rsid w:val="00C203A1"/>
    <w:rsid w:val="00C20B52"/>
    <w:rsid w:val="00C274AB"/>
    <w:rsid w:val="00C33229"/>
    <w:rsid w:val="00C34B2C"/>
    <w:rsid w:val="00C35A86"/>
    <w:rsid w:val="00C375A6"/>
    <w:rsid w:val="00C377C9"/>
    <w:rsid w:val="00C37BCD"/>
    <w:rsid w:val="00C37CC7"/>
    <w:rsid w:val="00C37E66"/>
    <w:rsid w:val="00C425F5"/>
    <w:rsid w:val="00C4315C"/>
    <w:rsid w:val="00C4342A"/>
    <w:rsid w:val="00C43510"/>
    <w:rsid w:val="00C46A88"/>
    <w:rsid w:val="00C46F31"/>
    <w:rsid w:val="00C47D40"/>
    <w:rsid w:val="00C50656"/>
    <w:rsid w:val="00C53B2A"/>
    <w:rsid w:val="00C53D4B"/>
    <w:rsid w:val="00C54C61"/>
    <w:rsid w:val="00C5626E"/>
    <w:rsid w:val="00C5646D"/>
    <w:rsid w:val="00C56899"/>
    <w:rsid w:val="00C574A0"/>
    <w:rsid w:val="00C57B99"/>
    <w:rsid w:val="00C604CA"/>
    <w:rsid w:val="00C605F2"/>
    <w:rsid w:val="00C60DDC"/>
    <w:rsid w:val="00C613B8"/>
    <w:rsid w:val="00C61B32"/>
    <w:rsid w:val="00C6328C"/>
    <w:rsid w:val="00C63D9E"/>
    <w:rsid w:val="00C63E40"/>
    <w:rsid w:val="00C64EA1"/>
    <w:rsid w:val="00C651D1"/>
    <w:rsid w:val="00C65DF8"/>
    <w:rsid w:val="00C66016"/>
    <w:rsid w:val="00C66047"/>
    <w:rsid w:val="00C670E8"/>
    <w:rsid w:val="00C7170C"/>
    <w:rsid w:val="00C71AD6"/>
    <w:rsid w:val="00C73DA1"/>
    <w:rsid w:val="00C747AA"/>
    <w:rsid w:val="00C751F4"/>
    <w:rsid w:val="00C7574A"/>
    <w:rsid w:val="00C75DD8"/>
    <w:rsid w:val="00C7766E"/>
    <w:rsid w:val="00C81526"/>
    <w:rsid w:val="00C815A5"/>
    <w:rsid w:val="00C82FB5"/>
    <w:rsid w:val="00C83D45"/>
    <w:rsid w:val="00C841C3"/>
    <w:rsid w:val="00C8573C"/>
    <w:rsid w:val="00C860DC"/>
    <w:rsid w:val="00C87362"/>
    <w:rsid w:val="00C908E8"/>
    <w:rsid w:val="00C90B5A"/>
    <w:rsid w:val="00C90C2A"/>
    <w:rsid w:val="00C91B84"/>
    <w:rsid w:val="00C91E72"/>
    <w:rsid w:val="00C92708"/>
    <w:rsid w:val="00C93AA4"/>
    <w:rsid w:val="00C95929"/>
    <w:rsid w:val="00C9633A"/>
    <w:rsid w:val="00CA25D5"/>
    <w:rsid w:val="00CA2D7D"/>
    <w:rsid w:val="00CA35D6"/>
    <w:rsid w:val="00CA614F"/>
    <w:rsid w:val="00CA68EA"/>
    <w:rsid w:val="00CA7B9E"/>
    <w:rsid w:val="00CA7DC7"/>
    <w:rsid w:val="00CB0F74"/>
    <w:rsid w:val="00CB342F"/>
    <w:rsid w:val="00CB46F9"/>
    <w:rsid w:val="00CB500E"/>
    <w:rsid w:val="00CB5958"/>
    <w:rsid w:val="00CB7318"/>
    <w:rsid w:val="00CC0143"/>
    <w:rsid w:val="00CC01A2"/>
    <w:rsid w:val="00CC13A3"/>
    <w:rsid w:val="00CC1F17"/>
    <w:rsid w:val="00CC2060"/>
    <w:rsid w:val="00CC544A"/>
    <w:rsid w:val="00CC5AF8"/>
    <w:rsid w:val="00CC627A"/>
    <w:rsid w:val="00CC639F"/>
    <w:rsid w:val="00CC69FB"/>
    <w:rsid w:val="00CC7778"/>
    <w:rsid w:val="00CD0D07"/>
    <w:rsid w:val="00CD2977"/>
    <w:rsid w:val="00CD297E"/>
    <w:rsid w:val="00CD2A88"/>
    <w:rsid w:val="00CD3B48"/>
    <w:rsid w:val="00CD6904"/>
    <w:rsid w:val="00CE06B8"/>
    <w:rsid w:val="00CE095B"/>
    <w:rsid w:val="00CE1F82"/>
    <w:rsid w:val="00CE24EE"/>
    <w:rsid w:val="00CE39FA"/>
    <w:rsid w:val="00CE55F1"/>
    <w:rsid w:val="00CE5872"/>
    <w:rsid w:val="00CE5D37"/>
    <w:rsid w:val="00CE6CB5"/>
    <w:rsid w:val="00CE75DC"/>
    <w:rsid w:val="00CF02B7"/>
    <w:rsid w:val="00CF18ED"/>
    <w:rsid w:val="00CF2E01"/>
    <w:rsid w:val="00CF4565"/>
    <w:rsid w:val="00CF7061"/>
    <w:rsid w:val="00D003F5"/>
    <w:rsid w:val="00D00708"/>
    <w:rsid w:val="00D01AAE"/>
    <w:rsid w:val="00D029F4"/>
    <w:rsid w:val="00D032CF"/>
    <w:rsid w:val="00D03398"/>
    <w:rsid w:val="00D03570"/>
    <w:rsid w:val="00D040E7"/>
    <w:rsid w:val="00D04A37"/>
    <w:rsid w:val="00D05EA3"/>
    <w:rsid w:val="00D104D5"/>
    <w:rsid w:val="00D10A16"/>
    <w:rsid w:val="00D113D0"/>
    <w:rsid w:val="00D11BC0"/>
    <w:rsid w:val="00D11FD7"/>
    <w:rsid w:val="00D13181"/>
    <w:rsid w:val="00D14331"/>
    <w:rsid w:val="00D1434B"/>
    <w:rsid w:val="00D14457"/>
    <w:rsid w:val="00D14963"/>
    <w:rsid w:val="00D14C53"/>
    <w:rsid w:val="00D1592E"/>
    <w:rsid w:val="00D20F81"/>
    <w:rsid w:val="00D232B3"/>
    <w:rsid w:val="00D239E9"/>
    <w:rsid w:val="00D244E3"/>
    <w:rsid w:val="00D25429"/>
    <w:rsid w:val="00D25FF6"/>
    <w:rsid w:val="00D26963"/>
    <w:rsid w:val="00D2698B"/>
    <w:rsid w:val="00D26A6A"/>
    <w:rsid w:val="00D27730"/>
    <w:rsid w:val="00D27F94"/>
    <w:rsid w:val="00D33053"/>
    <w:rsid w:val="00D378FD"/>
    <w:rsid w:val="00D40676"/>
    <w:rsid w:val="00D41915"/>
    <w:rsid w:val="00D44701"/>
    <w:rsid w:val="00D46C98"/>
    <w:rsid w:val="00D50903"/>
    <w:rsid w:val="00D50AF3"/>
    <w:rsid w:val="00D51434"/>
    <w:rsid w:val="00D51586"/>
    <w:rsid w:val="00D51623"/>
    <w:rsid w:val="00D517E8"/>
    <w:rsid w:val="00D518CB"/>
    <w:rsid w:val="00D522C7"/>
    <w:rsid w:val="00D54388"/>
    <w:rsid w:val="00D54BF3"/>
    <w:rsid w:val="00D56527"/>
    <w:rsid w:val="00D60826"/>
    <w:rsid w:val="00D60A36"/>
    <w:rsid w:val="00D60A4C"/>
    <w:rsid w:val="00D63DE7"/>
    <w:rsid w:val="00D641BF"/>
    <w:rsid w:val="00D64B36"/>
    <w:rsid w:val="00D70151"/>
    <w:rsid w:val="00D71261"/>
    <w:rsid w:val="00D73347"/>
    <w:rsid w:val="00D73C76"/>
    <w:rsid w:val="00D7421B"/>
    <w:rsid w:val="00D74276"/>
    <w:rsid w:val="00D74868"/>
    <w:rsid w:val="00D75E91"/>
    <w:rsid w:val="00D76431"/>
    <w:rsid w:val="00D80615"/>
    <w:rsid w:val="00D81789"/>
    <w:rsid w:val="00D81D8C"/>
    <w:rsid w:val="00D8438E"/>
    <w:rsid w:val="00D847DB"/>
    <w:rsid w:val="00D850F8"/>
    <w:rsid w:val="00D8704C"/>
    <w:rsid w:val="00D90FEF"/>
    <w:rsid w:val="00D91913"/>
    <w:rsid w:val="00D923CD"/>
    <w:rsid w:val="00D937B7"/>
    <w:rsid w:val="00D95590"/>
    <w:rsid w:val="00D96E41"/>
    <w:rsid w:val="00D96EE0"/>
    <w:rsid w:val="00DA024F"/>
    <w:rsid w:val="00DA0671"/>
    <w:rsid w:val="00DA20B9"/>
    <w:rsid w:val="00DA2C02"/>
    <w:rsid w:val="00DA5756"/>
    <w:rsid w:val="00DA5E42"/>
    <w:rsid w:val="00DA7CAC"/>
    <w:rsid w:val="00DB081C"/>
    <w:rsid w:val="00DB0907"/>
    <w:rsid w:val="00DB0F74"/>
    <w:rsid w:val="00DB14AE"/>
    <w:rsid w:val="00DB2AA4"/>
    <w:rsid w:val="00DB388E"/>
    <w:rsid w:val="00DB3922"/>
    <w:rsid w:val="00DB5DE4"/>
    <w:rsid w:val="00DB6316"/>
    <w:rsid w:val="00DB69AA"/>
    <w:rsid w:val="00DC0A4F"/>
    <w:rsid w:val="00DC1F70"/>
    <w:rsid w:val="00DC3C69"/>
    <w:rsid w:val="00DC3DDB"/>
    <w:rsid w:val="00DC3EC9"/>
    <w:rsid w:val="00DC41E5"/>
    <w:rsid w:val="00DC45DC"/>
    <w:rsid w:val="00DC67BE"/>
    <w:rsid w:val="00DC7667"/>
    <w:rsid w:val="00DC77A9"/>
    <w:rsid w:val="00DD1CBE"/>
    <w:rsid w:val="00DD1CE4"/>
    <w:rsid w:val="00DD37DF"/>
    <w:rsid w:val="00DD52DB"/>
    <w:rsid w:val="00DD57AC"/>
    <w:rsid w:val="00DD5B01"/>
    <w:rsid w:val="00DD67F3"/>
    <w:rsid w:val="00DE03B9"/>
    <w:rsid w:val="00DE0EFD"/>
    <w:rsid w:val="00DE2F67"/>
    <w:rsid w:val="00DE3B62"/>
    <w:rsid w:val="00DE4FB8"/>
    <w:rsid w:val="00DE52D3"/>
    <w:rsid w:val="00DE6740"/>
    <w:rsid w:val="00DE7211"/>
    <w:rsid w:val="00DE73CF"/>
    <w:rsid w:val="00DE7A08"/>
    <w:rsid w:val="00DF19C3"/>
    <w:rsid w:val="00DF2EB6"/>
    <w:rsid w:val="00DF345F"/>
    <w:rsid w:val="00DF3A88"/>
    <w:rsid w:val="00DF43B3"/>
    <w:rsid w:val="00DF64AC"/>
    <w:rsid w:val="00DF796F"/>
    <w:rsid w:val="00E01E90"/>
    <w:rsid w:val="00E02291"/>
    <w:rsid w:val="00E02381"/>
    <w:rsid w:val="00E04A11"/>
    <w:rsid w:val="00E05F06"/>
    <w:rsid w:val="00E06D2C"/>
    <w:rsid w:val="00E072E6"/>
    <w:rsid w:val="00E10991"/>
    <w:rsid w:val="00E11290"/>
    <w:rsid w:val="00E12642"/>
    <w:rsid w:val="00E12693"/>
    <w:rsid w:val="00E12A6D"/>
    <w:rsid w:val="00E147E2"/>
    <w:rsid w:val="00E20025"/>
    <w:rsid w:val="00E2045C"/>
    <w:rsid w:val="00E2067F"/>
    <w:rsid w:val="00E20978"/>
    <w:rsid w:val="00E210A5"/>
    <w:rsid w:val="00E2424F"/>
    <w:rsid w:val="00E252DB"/>
    <w:rsid w:val="00E26234"/>
    <w:rsid w:val="00E27B08"/>
    <w:rsid w:val="00E30A0D"/>
    <w:rsid w:val="00E31177"/>
    <w:rsid w:val="00E3154B"/>
    <w:rsid w:val="00E31DCC"/>
    <w:rsid w:val="00E33EA1"/>
    <w:rsid w:val="00E3658B"/>
    <w:rsid w:val="00E37C8A"/>
    <w:rsid w:val="00E40A8F"/>
    <w:rsid w:val="00E4255E"/>
    <w:rsid w:val="00E4463D"/>
    <w:rsid w:val="00E44BF7"/>
    <w:rsid w:val="00E44CE5"/>
    <w:rsid w:val="00E4518A"/>
    <w:rsid w:val="00E45397"/>
    <w:rsid w:val="00E4618F"/>
    <w:rsid w:val="00E50198"/>
    <w:rsid w:val="00E50947"/>
    <w:rsid w:val="00E5250E"/>
    <w:rsid w:val="00E52EF4"/>
    <w:rsid w:val="00E5426E"/>
    <w:rsid w:val="00E54DFD"/>
    <w:rsid w:val="00E556E5"/>
    <w:rsid w:val="00E557F1"/>
    <w:rsid w:val="00E56005"/>
    <w:rsid w:val="00E60B94"/>
    <w:rsid w:val="00E618D2"/>
    <w:rsid w:val="00E624A5"/>
    <w:rsid w:val="00E6282F"/>
    <w:rsid w:val="00E64E26"/>
    <w:rsid w:val="00E659E1"/>
    <w:rsid w:val="00E65B3A"/>
    <w:rsid w:val="00E67883"/>
    <w:rsid w:val="00E67903"/>
    <w:rsid w:val="00E7128C"/>
    <w:rsid w:val="00E718E7"/>
    <w:rsid w:val="00E725CA"/>
    <w:rsid w:val="00E7362B"/>
    <w:rsid w:val="00E73666"/>
    <w:rsid w:val="00E73999"/>
    <w:rsid w:val="00E73DBD"/>
    <w:rsid w:val="00E7401C"/>
    <w:rsid w:val="00E74C0A"/>
    <w:rsid w:val="00E75C5F"/>
    <w:rsid w:val="00E75FB5"/>
    <w:rsid w:val="00E7622D"/>
    <w:rsid w:val="00E76826"/>
    <w:rsid w:val="00E80048"/>
    <w:rsid w:val="00E8093D"/>
    <w:rsid w:val="00E81483"/>
    <w:rsid w:val="00E858A6"/>
    <w:rsid w:val="00E8612A"/>
    <w:rsid w:val="00E8711C"/>
    <w:rsid w:val="00E9207A"/>
    <w:rsid w:val="00E922BC"/>
    <w:rsid w:val="00E927DC"/>
    <w:rsid w:val="00E938C8"/>
    <w:rsid w:val="00E93A49"/>
    <w:rsid w:val="00E955A9"/>
    <w:rsid w:val="00E971E6"/>
    <w:rsid w:val="00E97449"/>
    <w:rsid w:val="00E97687"/>
    <w:rsid w:val="00E978EC"/>
    <w:rsid w:val="00E97E46"/>
    <w:rsid w:val="00EA0721"/>
    <w:rsid w:val="00EA1CA6"/>
    <w:rsid w:val="00EA1FA0"/>
    <w:rsid w:val="00EA201F"/>
    <w:rsid w:val="00EA204A"/>
    <w:rsid w:val="00EA2628"/>
    <w:rsid w:val="00EA2986"/>
    <w:rsid w:val="00EA2C2E"/>
    <w:rsid w:val="00EA2D5E"/>
    <w:rsid w:val="00EA2FE1"/>
    <w:rsid w:val="00EA3541"/>
    <w:rsid w:val="00EA388C"/>
    <w:rsid w:val="00EA3C24"/>
    <w:rsid w:val="00EA50D3"/>
    <w:rsid w:val="00EA7398"/>
    <w:rsid w:val="00EA75C3"/>
    <w:rsid w:val="00EA7882"/>
    <w:rsid w:val="00EB005B"/>
    <w:rsid w:val="00EB0402"/>
    <w:rsid w:val="00EB0566"/>
    <w:rsid w:val="00EB2097"/>
    <w:rsid w:val="00EB3AFF"/>
    <w:rsid w:val="00EB434B"/>
    <w:rsid w:val="00EB7BA0"/>
    <w:rsid w:val="00EC00B2"/>
    <w:rsid w:val="00EC177A"/>
    <w:rsid w:val="00EC1CC1"/>
    <w:rsid w:val="00ED0155"/>
    <w:rsid w:val="00ED0254"/>
    <w:rsid w:val="00ED19C2"/>
    <w:rsid w:val="00ED1C08"/>
    <w:rsid w:val="00ED1FE3"/>
    <w:rsid w:val="00ED22B7"/>
    <w:rsid w:val="00ED2394"/>
    <w:rsid w:val="00ED2546"/>
    <w:rsid w:val="00ED3A8F"/>
    <w:rsid w:val="00ED7CF5"/>
    <w:rsid w:val="00EE0BAF"/>
    <w:rsid w:val="00EE0F5B"/>
    <w:rsid w:val="00EE19A8"/>
    <w:rsid w:val="00EE2331"/>
    <w:rsid w:val="00EE32AB"/>
    <w:rsid w:val="00EE4773"/>
    <w:rsid w:val="00EF02E3"/>
    <w:rsid w:val="00EF055E"/>
    <w:rsid w:val="00EF0C10"/>
    <w:rsid w:val="00EF1253"/>
    <w:rsid w:val="00EF18F5"/>
    <w:rsid w:val="00EF1E89"/>
    <w:rsid w:val="00EF26A3"/>
    <w:rsid w:val="00EF3844"/>
    <w:rsid w:val="00EF4E42"/>
    <w:rsid w:val="00F00DE8"/>
    <w:rsid w:val="00F02681"/>
    <w:rsid w:val="00F06D9F"/>
    <w:rsid w:val="00F07141"/>
    <w:rsid w:val="00F072E1"/>
    <w:rsid w:val="00F078C9"/>
    <w:rsid w:val="00F1072D"/>
    <w:rsid w:val="00F11738"/>
    <w:rsid w:val="00F12EB5"/>
    <w:rsid w:val="00F15A2D"/>
    <w:rsid w:val="00F16AC2"/>
    <w:rsid w:val="00F17EB1"/>
    <w:rsid w:val="00F21BDE"/>
    <w:rsid w:val="00F21F42"/>
    <w:rsid w:val="00F224B8"/>
    <w:rsid w:val="00F22CA5"/>
    <w:rsid w:val="00F22DE6"/>
    <w:rsid w:val="00F22F83"/>
    <w:rsid w:val="00F22FA8"/>
    <w:rsid w:val="00F2468C"/>
    <w:rsid w:val="00F24C19"/>
    <w:rsid w:val="00F26DC8"/>
    <w:rsid w:val="00F2739F"/>
    <w:rsid w:val="00F30487"/>
    <w:rsid w:val="00F326ED"/>
    <w:rsid w:val="00F336B6"/>
    <w:rsid w:val="00F33E55"/>
    <w:rsid w:val="00F36890"/>
    <w:rsid w:val="00F417BC"/>
    <w:rsid w:val="00F41818"/>
    <w:rsid w:val="00F42302"/>
    <w:rsid w:val="00F4316B"/>
    <w:rsid w:val="00F444E0"/>
    <w:rsid w:val="00F445BC"/>
    <w:rsid w:val="00F45666"/>
    <w:rsid w:val="00F45CA9"/>
    <w:rsid w:val="00F50A70"/>
    <w:rsid w:val="00F519C2"/>
    <w:rsid w:val="00F51A55"/>
    <w:rsid w:val="00F51E33"/>
    <w:rsid w:val="00F520A6"/>
    <w:rsid w:val="00F52C44"/>
    <w:rsid w:val="00F534E5"/>
    <w:rsid w:val="00F5491E"/>
    <w:rsid w:val="00F5582B"/>
    <w:rsid w:val="00F55DE3"/>
    <w:rsid w:val="00F56EE3"/>
    <w:rsid w:val="00F639C6"/>
    <w:rsid w:val="00F67E00"/>
    <w:rsid w:val="00F7047B"/>
    <w:rsid w:val="00F71BEC"/>
    <w:rsid w:val="00F71D3F"/>
    <w:rsid w:val="00F71DE8"/>
    <w:rsid w:val="00F71E31"/>
    <w:rsid w:val="00F71E9D"/>
    <w:rsid w:val="00F7213D"/>
    <w:rsid w:val="00F7494C"/>
    <w:rsid w:val="00F76670"/>
    <w:rsid w:val="00F77C6A"/>
    <w:rsid w:val="00F814AB"/>
    <w:rsid w:val="00F81B74"/>
    <w:rsid w:val="00F825FC"/>
    <w:rsid w:val="00F83E5A"/>
    <w:rsid w:val="00F848F3"/>
    <w:rsid w:val="00F84AD2"/>
    <w:rsid w:val="00F84DB3"/>
    <w:rsid w:val="00F85119"/>
    <w:rsid w:val="00F863B6"/>
    <w:rsid w:val="00F8647E"/>
    <w:rsid w:val="00F86E0B"/>
    <w:rsid w:val="00F907D8"/>
    <w:rsid w:val="00F91806"/>
    <w:rsid w:val="00F923DC"/>
    <w:rsid w:val="00F925CA"/>
    <w:rsid w:val="00F947F9"/>
    <w:rsid w:val="00F94890"/>
    <w:rsid w:val="00F97071"/>
    <w:rsid w:val="00F97E16"/>
    <w:rsid w:val="00FA033C"/>
    <w:rsid w:val="00FA1E81"/>
    <w:rsid w:val="00FA4658"/>
    <w:rsid w:val="00FA4D19"/>
    <w:rsid w:val="00FA519A"/>
    <w:rsid w:val="00FA537A"/>
    <w:rsid w:val="00FA6D16"/>
    <w:rsid w:val="00FA7DA8"/>
    <w:rsid w:val="00FB0F50"/>
    <w:rsid w:val="00FB26A2"/>
    <w:rsid w:val="00FB2B81"/>
    <w:rsid w:val="00FB3E41"/>
    <w:rsid w:val="00FB5F52"/>
    <w:rsid w:val="00FB622A"/>
    <w:rsid w:val="00FC0179"/>
    <w:rsid w:val="00FC259E"/>
    <w:rsid w:val="00FC3D15"/>
    <w:rsid w:val="00FC4325"/>
    <w:rsid w:val="00FC48E5"/>
    <w:rsid w:val="00FC716A"/>
    <w:rsid w:val="00FC7B27"/>
    <w:rsid w:val="00FD026E"/>
    <w:rsid w:val="00FD0516"/>
    <w:rsid w:val="00FD1917"/>
    <w:rsid w:val="00FD25AE"/>
    <w:rsid w:val="00FD298B"/>
    <w:rsid w:val="00FD39FB"/>
    <w:rsid w:val="00FD4369"/>
    <w:rsid w:val="00FD67DE"/>
    <w:rsid w:val="00FD75E9"/>
    <w:rsid w:val="00FE079E"/>
    <w:rsid w:val="00FE0B22"/>
    <w:rsid w:val="00FE2695"/>
    <w:rsid w:val="00FE303D"/>
    <w:rsid w:val="00FE3D1B"/>
    <w:rsid w:val="00FE5E9C"/>
    <w:rsid w:val="00FE775E"/>
    <w:rsid w:val="00FF5480"/>
    <w:rsid w:val="00FF5A67"/>
    <w:rsid w:val="00FF7B02"/>
    <w:rsid w:val="018165B1"/>
    <w:rsid w:val="020F0784"/>
    <w:rsid w:val="02DB7A77"/>
    <w:rsid w:val="03C35C58"/>
    <w:rsid w:val="03EB3009"/>
    <w:rsid w:val="040A3D11"/>
    <w:rsid w:val="04332F76"/>
    <w:rsid w:val="046A40FF"/>
    <w:rsid w:val="048F1A6A"/>
    <w:rsid w:val="04F546B3"/>
    <w:rsid w:val="05166DB7"/>
    <w:rsid w:val="0537643C"/>
    <w:rsid w:val="05BB6E8C"/>
    <w:rsid w:val="06885236"/>
    <w:rsid w:val="06AF6F07"/>
    <w:rsid w:val="06BD1D89"/>
    <w:rsid w:val="084701C8"/>
    <w:rsid w:val="08816B15"/>
    <w:rsid w:val="08E157B4"/>
    <w:rsid w:val="08ED568D"/>
    <w:rsid w:val="0A3B1C3A"/>
    <w:rsid w:val="0A694857"/>
    <w:rsid w:val="0AB944A3"/>
    <w:rsid w:val="0B663ECE"/>
    <w:rsid w:val="0C553C00"/>
    <w:rsid w:val="0C5B54B2"/>
    <w:rsid w:val="0D471FD0"/>
    <w:rsid w:val="0DA251EB"/>
    <w:rsid w:val="0E066D83"/>
    <w:rsid w:val="0F10494E"/>
    <w:rsid w:val="0FCE22FD"/>
    <w:rsid w:val="10E9484A"/>
    <w:rsid w:val="133A1019"/>
    <w:rsid w:val="13460F09"/>
    <w:rsid w:val="138B7AA4"/>
    <w:rsid w:val="15625548"/>
    <w:rsid w:val="15995847"/>
    <w:rsid w:val="15BC67B5"/>
    <w:rsid w:val="16262768"/>
    <w:rsid w:val="175B29DE"/>
    <w:rsid w:val="18BB4BD4"/>
    <w:rsid w:val="19295A20"/>
    <w:rsid w:val="19BC2548"/>
    <w:rsid w:val="1A1A1D5C"/>
    <w:rsid w:val="1BAC19F3"/>
    <w:rsid w:val="1C0552B5"/>
    <w:rsid w:val="1C363B56"/>
    <w:rsid w:val="1C3928DC"/>
    <w:rsid w:val="1C4974DB"/>
    <w:rsid w:val="1D460E71"/>
    <w:rsid w:val="1D7E6AF0"/>
    <w:rsid w:val="1DB41DC8"/>
    <w:rsid w:val="1DD66F21"/>
    <w:rsid w:val="1DDF2831"/>
    <w:rsid w:val="1E423D71"/>
    <w:rsid w:val="1EFA5255"/>
    <w:rsid w:val="1F0E491E"/>
    <w:rsid w:val="1F3C6357"/>
    <w:rsid w:val="1FBB471C"/>
    <w:rsid w:val="1FF809D7"/>
    <w:rsid w:val="1FF8295D"/>
    <w:rsid w:val="200F2104"/>
    <w:rsid w:val="206C6D2A"/>
    <w:rsid w:val="20FF6E77"/>
    <w:rsid w:val="224373C1"/>
    <w:rsid w:val="226D77A1"/>
    <w:rsid w:val="233C0E77"/>
    <w:rsid w:val="236E03B0"/>
    <w:rsid w:val="23A9148E"/>
    <w:rsid w:val="241B3161"/>
    <w:rsid w:val="25146236"/>
    <w:rsid w:val="252838CA"/>
    <w:rsid w:val="25766342"/>
    <w:rsid w:val="26772FF0"/>
    <w:rsid w:val="26BC593B"/>
    <w:rsid w:val="27505A8D"/>
    <w:rsid w:val="277233A5"/>
    <w:rsid w:val="282D79F9"/>
    <w:rsid w:val="29252190"/>
    <w:rsid w:val="29CC3C22"/>
    <w:rsid w:val="2A53215E"/>
    <w:rsid w:val="2AAE0436"/>
    <w:rsid w:val="2AE049E4"/>
    <w:rsid w:val="2AE8489C"/>
    <w:rsid w:val="2B467C0B"/>
    <w:rsid w:val="2BC74CE2"/>
    <w:rsid w:val="2BD12CFE"/>
    <w:rsid w:val="2C40357C"/>
    <w:rsid w:val="2C52649A"/>
    <w:rsid w:val="2CBD64F3"/>
    <w:rsid w:val="2CFE7FF4"/>
    <w:rsid w:val="2E0D711A"/>
    <w:rsid w:val="2F1963A3"/>
    <w:rsid w:val="2F906186"/>
    <w:rsid w:val="30091C5F"/>
    <w:rsid w:val="30A64860"/>
    <w:rsid w:val="30A71CA7"/>
    <w:rsid w:val="3204479C"/>
    <w:rsid w:val="32C32565"/>
    <w:rsid w:val="33604A58"/>
    <w:rsid w:val="344714D3"/>
    <w:rsid w:val="34D61910"/>
    <w:rsid w:val="35723E7C"/>
    <w:rsid w:val="359E63BF"/>
    <w:rsid w:val="35C11D0E"/>
    <w:rsid w:val="362B296D"/>
    <w:rsid w:val="36303A70"/>
    <w:rsid w:val="36334A72"/>
    <w:rsid w:val="364639DE"/>
    <w:rsid w:val="371A6674"/>
    <w:rsid w:val="385B66B0"/>
    <w:rsid w:val="386C091E"/>
    <w:rsid w:val="392F6753"/>
    <w:rsid w:val="394C1934"/>
    <w:rsid w:val="39C26CD1"/>
    <w:rsid w:val="3A377AD4"/>
    <w:rsid w:val="3AA9374B"/>
    <w:rsid w:val="3AFC4698"/>
    <w:rsid w:val="3B6E44A9"/>
    <w:rsid w:val="3B9F3EB7"/>
    <w:rsid w:val="3D243C5E"/>
    <w:rsid w:val="3DD16EE5"/>
    <w:rsid w:val="3DD55C6B"/>
    <w:rsid w:val="3DD96E06"/>
    <w:rsid w:val="3EF44FD4"/>
    <w:rsid w:val="3FFE30B3"/>
    <w:rsid w:val="402316E3"/>
    <w:rsid w:val="410B59C4"/>
    <w:rsid w:val="42040A14"/>
    <w:rsid w:val="425F056B"/>
    <w:rsid w:val="42CE2BBC"/>
    <w:rsid w:val="42F772F9"/>
    <w:rsid w:val="435341FF"/>
    <w:rsid w:val="435A6D15"/>
    <w:rsid w:val="43626728"/>
    <w:rsid w:val="43F7188F"/>
    <w:rsid w:val="44462500"/>
    <w:rsid w:val="44656094"/>
    <w:rsid w:val="44711559"/>
    <w:rsid w:val="44A95C97"/>
    <w:rsid w:val="454A409D"/>
    <w:rsid w:val="467A3B2C"/>
    <w:rsid w:val="46BA1280"/>
    <w:rsid w:val="46DA589E"/>
    <w:rsid w:val="474E0EDD"/>
    <w:rsid w:val="489C7880"/>
    <w:rsid w:val="49C43615"/>
    <w:rsid w:val="4A835D8C"/>
    <w:rsid w:val="4AA414CB"/>
    <w:rsid w:val="4AD337D1"/>
    <w:rsid w:val="4AEF48B4"/>
    <w:rsid w:val="4B620771"/>
    <w:rsid w:val="4D08596F"/>
    <w:rsid w:val="4D490888"/>
    <w:rsid w:val="4D5C1547"/>
    <w:rsid w:val="4DDE5B43"/>
    <w:rsid w:val="5120549F"/>
    <w:rsid w:val="52DE4DE8"/>
    <w:rsid w:val="53112AAB"/>
    <w:rsid w:val="537E2F5F"/>
    <w:rsid w:val="53A57891"/>
    <w:rsid w:val="5438153A"/>
    <w:rsid w:val="54852974"/>
    <w:rsid w:val="550C6353"/>
    <w:rsid w:val="55785925"/>
    <w:rsid w:val="558E2EC7"/>
    <w:rsid w:val="566F510A"/>
    <w:rsid w:val="56817629"/>
    <w:rsid w:val="569B1C91"/>
    <w:rsid w:val="56A27A5B"/>
    <w:rsid w:val="57290519"/>
    <w:rsid w:val="57443FA2"/>
    <w:rsid w:val="58124259"/>
    <w:rsid w:val="59621051"/>
    <w:rsid w:val="596F3922"/>
    <w:rsid w:val="5B660CEF"/>
    <w:rsid w:val="5C27423E"/>
    <w:rsid w:val="5C7010F9"/>
    <w:rsid w:val="5D1773C9"/>
    <w:rsid w:val="5D3437CF"/>
    <w:rsid w:val="5DB17BF1"/>
    <w:rsid w:val="5DB4661B"/>
    <w:rsid w:val="5DCD1AEE"/>
    <w:rsid w:val="5DEB018C"/>
    <w:rsid w:val="5E812CD2"/>
    <w:rsid w:val="5EA52A1F"/>
    <w:rsid w:val="5FD15914"/>
    <w:rsid w:val="5FF843A6"/>
    <w:rsid w:val="60584B33"/>
    <w:rsid w:val="61187559"/>
    <w:rsid w:val="613164E9"/>
    <w:rsid w:val="624714AC"/>
    <w:rsid w:val="626E1E58"/>
    <w:rsid w:val="62BB0ECA"/>
    <w:rsid w:val="64B95F31"/>
    <w:rsid w:val="64CF744E"/>
    <w:rsid w:val="6597403A"/>
    <w:rsid w:val="66063E6E"/>
    <w:rsid w:val="668734C3"/>
    <w:rsid w:val="66CC7F44"/>
    <w:rsid w:val="66F91A76"/>
    <w:rsid w:val="67901E4D"/>
    <w:rsid w:val="681B7EC8"/>
    <w:rsid w:val="69253F5D"/>
    <w:rsid w:val="699D6D5E"/>
    <w:rsid w:val="69FA0B84"/>
    <w:rsid w:val="6C865320"/>
    <w:rsid w:val="6CE1790A"/>
    <w:rsid w:val="6D275220"/>
    <w:rsid w:val="6D62649E"/>
    <w:rsid w:val="6D7116AF"/>
    <w:rsid w:val="6E845628"/>
    <w:rsid w:val="6EDA5EEB"/>
    <w:rsid w:val="6FA607B2"/>
    <w:rsid w:val="704B345A"/>
    <w:rsid w:val="7143765F"/>
    <w:rsid w:val="71AF3060"/>
    <w:rsid w:val="71C85DCB"/>
    <w:rsid w:val="72556BD4"/>
    <w:rsid w:val="732674FD"/>
    <w:rsid w:val="732B7B38"/>
    <w:rsid w:val="7380520D"/>
    <w:rsid w:val="73897499"/>
    <w:rsid w:val="746F26E3"/>
    <w:rsid w:val="751F373A"/>
    <w:rsid w:val="75790588"/>
    <w:rsid w:val="75CE011E"/>
    <w:rsid w:val="769814A7"/>
    <w:rsid w:val="770F3562"/>
    <w:rsid w:val="775C3149"/>
    <w:rsid w:val="77712302"/>
    <w:rsid w:val="78B63B62"/>
    <w:rsid w:val="7C871F2B"/>
    <w:rsid w:val="7D610D0B"/>
    <w:rsid w:val="7D8A7DAA"/>
    <w:rsid w:val="7DBD71B2"/>
    <w:rsid w:val="7E396311"/>
    <w:rsid w:val="7E6A3194"/>
    <w:rsid w:val="7F20046C"/>
    <w:rsid w:val="7FC63AB1"/>
    <w:rsid w:val="7FD34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pPr>
    <w:rPr>
      <w:rFonts w:ascii="Tahoma" w:hAnsi="Tahoma" w:eastAsia="宋体" w:cs="Times New Roman"/>
      <w:sz w:val="21"/>
      <w:szCs w:val="22"/>
      <w:lang w:val="en-US" w:eastAsia="zh-CN" w:bidi="ar-SA"/>
    </w:rPr>
  </w:style>
  <w:style w:type="paragraph" w:styleId="3">
    <w:name w:val="heading 1"/>
    <w:basedOn w:val="1"/>
    <w:next w:val="1"/>
    <w:qFormat/>
    <w:uiPriority w:val="0"/>
    <w:pPr>
      <w:keepNext/>
      <w:keepLines/>
      <w:spacing w:before="120" w:after="120" w:line="680" w:lineRule="exact"/>
      <w:jc w:val="center"/>
      <w:outlineLvl w:val="0"/>
    </w:pPr>
    <w:rPr>
      <w:rFonts w:ascii="黑体" w:hAnsi="黑体" w:eastAsia="黑体"/>
      <w:kern w:val="44"/>
      <w:sz w:val="36"/>
    </w:rPr>
  </w:style>
  <w:style w:type="paragraph" w:styleId="4">
    <w:name w:val="heading 2"/>
    <w:basedOn w:val="1"/>
    <w:next w:val="1"/>
    <w:link w:val="130"/>
    <w:unhideWhenUsed/>
    <w:qFormat/>
    <w:uiPriority w:val="9"/>
    <w:pPr>
      <w:spacing w:before="120" w:after="120" w:line="680" w:lineRule="exact"/>
      <w:jc w:val="center"/>
      <w:outlineLvl w:val="1"/>
    </w:pPr>
    <w:rPr>
      <w:rFonts w:ascii="楷体_GB2312" w:hAnsi="楷体" w:eastAsia="楷体_GB2312" w:cstheme="majorBidi"/>
      <w:b/>
      <w:bCs/>
      <w:sz w:val="32"/>
      <w:szCs w:val="32"/>
      <w:lang w:bidi="mn-Mong-CN"/>
    </w:rPr>
  </w:style>
  <w:style w:type="paragraph" w:styleId="5">
    <w:name w:val="heading 3"/>
    <w:basedOn w:val="1"/>
    <w:next w:val="1"/>
    <w:link w:val="129"/>
    <w:unhideWhenUsed/>
    <w:qFormat/>
    <w:uiPriority w:val="0"/>
    <w:pPr>
      <w:keepNext/>
      <w:keepLines/>
      <w:spacing w:line="360" w:lineRule="auto"/>
      <w:ind w:firstLine="643" w:firstLineChars="200"/>
      <w:outlineLvl w:val="2"/>
    </w:pPr>
    <w:rPr>
      <w:rFonts w:ascii="仿宋" w:hAnsi="仿宋" w:eastAsia="仿宋"/>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ind w:firstLine="643" w:firstLineChars="200"/>
    </w:pPr>
    <w:rPr>
      <w:rFonts w:ascii="Calibri" w:hAnsi="Calibri" w:eastAsia="仿宋"/>
      <w:sz w:val="32"/>
    </w:rPr>
  </w:style>
  <w:style w:type="paragraph" w:styleId="6">
    <w:name w:val="toc 7"/>
    <w:basedOn w:val="1"/>
    <w:next w:val="1"/>
    <w:qFormat/>
    <w:uiPriority w:val="39"/>
    <w:pPr>
      <w:ind w:left="2520" w:leftChars="1200"/>
    </w:pPr>
  </w:style>
  <w:style w:type="paragraph" w:styleId="7">
    <w:name w:val="Normal Indent"/>
    <w:basedOn w:val="1"/>
    <w:qFormat/>
    <w:uiPriority w:val="0"/>
    <w:pPr>
      <w:spacing w:after="120" w:line="312" w:lineRule="auto"/>
      <w:ind w:firstLine="480" w:firstLineChars="200"/>
    </w:pPr>
    <w:rPr>
      <w:rFonts w:ascii="华文细黑" w:hAnsi="华文细黑" w:eastAsia="华文细黑"/>
      <w:kern w:val="2"/>
      <w:sz w:val="24"/>
    </w:rPr>
  </w:style>
  <w:style w:type="paragraph" w:styleId="8">
    <w:name w:val="Document Map"/>
    <w:basedOn w:val="1"/>
    <w:link w:val="142"/>
    <w:semiHidden/>
    <w:unhideWhenUsed/>
    <w:qFormat/>
    <w:uiPriority w:val="0"/>
    <w:rPr>
      <w:rFonts w:ascii="宋体"/>
      <w:sz w:val="18"/>
      <w:szCs w:val="18"/>
    </w:rPr>
  </w:style>
  <w:style w:type="paragraph" w:styleId="9">
    <w:name w:val="annotation text"/>
    <w:basedOn w:val="1"/>
    <w:qFormat/>
    <w:uiPriority w:val="0"/>
  </w:style>
  <w:style w:type="paragraph" w:styleId="10">
    <w:name w:val="Body Text Indent"/>
    <w:basedOn w:val="1"/>
    <w:next w:val="2"/>
    <w:link w:val="131"/>
    <w:qFormat/>
    <w:uiPriority w:val="0"/>
    <w:pPr>
      <w:spacing w:line="600" w:lineRule="exact"/>
      <w:ind w:firstLine="629"/>
    </w:pPr>
    <w:rPr>
      <w:rFonts w:ascii="宋体"/>
      <w:sz w:val="32"/>
      <w:szCs w:val="32"/>
    </w:rPr>
  </w:style>
  <w:style w:type="paragraph" w:styleId="11">
    <w:name w:val="toc 5"/>
    <w:basedOn w:val="1"/>
    <w:next w:val="1"/>
    <w:qFormat/>
    <w:uiPriority w:val="39"/>
    <w:pPr>
      <w:ind w:left="1680" w:leftChars="800"/>
    </w:pPr>
  </w:style>
  <w:style w:type="paragraph" w:styleId="12">
    <w:name w:val="toc 3"/>
    <w:basedOn w:val="1"/>
    <w:next w:val="1"/>
    <w:qFormat/>
    <w:uiPriority w:val="39"/>
    <w:pPr>
      <w:ind w:left="840" w:leftChars="400"/>
    </w:pPr>
  </w:style>
  <w:style w:type="paragraph" w:styleId="13">
    <w:name w:val="toc 8"/>
    <w:basedOn w:val="1"/>
    <w:next w:val="1"/>
    <w:qFormat/>
    <w:uiPriority w:val="39"/>
    <w:pPr>
      <w:ind w:left="2940" w:leftChars="1400"/>
    </w:pPr>
  </w:style>
  <w:style w:type="paragraph" w:styleId="14">
    <w:name w:val="Balloon Text"/>
    <w:basedOn w:val="1"/>
    <w:link w:val="123"/>
    <w:qFormat/>
    <w:uiPriority w:val="0"/>
    <w:rPr>
      <w:sz w:val="18"/>
      <w:szCs w:val="18"/>
    </w:rPr>
  </w:style>
  <w:style w:type="paragraph" w:styleId="15">
    <w:name w:val="footer"/>
    <w:basedOn w:val="1"/>
    <w:link w:val="124"/>
    <w:qFormat/>
    <w:uiPriority w:val="99"/>
    <w:pPr>
      <w:tabs>
        <w:tab w:val="center" w:pos="4153"/>
        <w:tab w:val="right" w:pos="8306"/>
      </w:tabs>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qFormat/>
    <w:uiPriority w:val="39"/>
    <w:pPr>
      <w:spacing w:line="600" w:lineRule="exact"/>
    </w:pPr>
    <w:rPr>
      <w:rFonts w:eastAsia="仿宋_GB2312"/>
      <w:b/>
      <w:sz w:val="30"/>
    </w:rPr>
  </w:style>
  <w:style w:type="paragraph" w:styleId="18">
    <w:name w:val="toc 4"/>
    <w:basedOn w:val="1"/>
    <w:next w:val="1"/>
    <w:qFormat/>
    <w:uiPriority w:val="39"/>
    <w:pPr>
      <w:ind w:left="1260" w:leftChars="600"/>
    </w:pPr>
  </w:style>
  <w:style w:type="paragraph" w:styleId="19">
    <w:name w:val="toc 6"/>
    <w:basedOn w:val="1"/>
    <w:next w:val="1"/>
    <w:qFormat/>
    <w:uiPriority w:val="39"/>
    <w:pPr>
      <w:ind w:left="2100" w:leftChars="1000"/>
    </w:pPr>
  </w:style>
  <w:style w:type="paragraph" w:styleId="20">
    <w:name w:val="toc 2"/>
    <w:basedOn w:val="1"/>
    <w:next w:val="1"/>
    <w:qFormat/>
    <w:uiPriority w:val="39"/>
    <w:pPr>
      <w:spacing w:line="600" w:lineRule="exact"/>
      <w:ind w:left="200" w:leftChars="200"/>
    </w:pPr>
    <w:rPr>
      <w:rFonts w:eastAsia="仿宋_GB2312"/>
      <w:sz w:val="30"/>
    </w:rPr>
  </w:style>
  <w:style w:type="paragraph" w:styleId="21">
    <w:name w:val="toc 9"/>
    <w:basedOn w:val="1"/>
    <w:next w:val="1"/>
    <w:qFormat/>
    <w:uiPriority w:val="39"/>
    <w:pPr>
      <w:ind w:left="3360" w:leftChars="1600"/>
    </w:pPr>
  </w:style>
  <w:style w:type="paragraph" w:styleId="22">
    <w:name w:val="Normal (Web)"/>
    <w:basedOn w:val="1"/>
    <w:link w:val="136"/>
    <w:unhideWhenUsed/>
    <w:qFormat/>
    <w:uiPriority w:val="0"/>
    <w:pPr>
      <w:spacing w:before="100" w:beforeAutospacing="1" w:after="100" w:afterAutospacing="1"/>
    </w:pPr>
    <w:rPr>
      <w:rFonts w:ascii="Calibri" w:hAnsi="Calibri"/>
      <w:sz w:val="24"/>
    </w:rPr>
  </w:style>
  <w:style w:type="paragraph" w:styleId="23">
    <w:name w:val="Body Text First Indent 2"/>
    <w:basedOn w:val="10"/>
    <w:link w:val="139"/>
    <w:qFormat/>
    <w:uiPriority w:val="0"/>
    <w:pPr>
      <w:ind w:firstLine="420" w:firstLineChars="200"/>
    </w:p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FollowedHyperlink"/>
    <w:basedOn w:val="26"/>
    <w:qFormat/>
    <w:uiPriority w:val="0"/>
    <w:rPr>
      <w:color w:val="000000"/>
      <w:spacing w:val="0"/>
      <w:u w:val="none"/>
    </w:rPr>
  </w:style>
  <w:style w:type="character" w:styleId="29">
    <w:name w:val="Emphasis"/>
    <w:basedOn w:val="26"/>
    <w:qFormat/>
    <w:uiPriority w:val="0"/>
  </w:style>
  <w:style w:type="character" w:styleId="30">
    <w:name w:val="HTML Definition"/>
    <w:basedOn w:val="26"/>
    <w:qFormat/>
    <w:uiPriority w:val="0"/>
  </w:style>
  <w:style w:type="character" w:styleId="31">
    <w:name w:val="HTML Variable"/>
    <w:basedOn w:val="26"/>
    <w:qFormat/>
    <w:uiPriority w:val="0"/>
  </w:style>
  <w:style w:type="character" w:styleId="32">
    <w:name w:val="Hyperlink"/>
    <w:basedOn w:val="26"/>
    <w:qFormat/>
    <w:uiPriority w:val="99"/>
    <w:rPr>
      <w:color w:val="000000"/>
      <w:spacing w:val="0"/>
      <w:u w:val="none"/>
    </w:rPr>
  </w:style>
  <w:style w:type="character" w:styleId="33">
    <w:name w:val="HTML Code"/>
    <w:basedOn w:val="26"/>
    <w:qFormat/>
    <w:uiPriority w:val="0"/>
    <w:rPr>
      <w:rFonts w:hint="default" w:ascii="Menlo" w:hAnsi="Menlo" w:eastAsia="Menlo" w:cs="Menlo"/>
      <w:color w:val="C7254E"/>
      <w:sz w:val="21"/>
      <w:szCs w:val="21"/>
      <w:shd w:val="clear" w:color="auto" w:fill="F9F2F4"/>
    </w:rPr>
  </w:style>
  <w:style w:type="character" w:styleId="34">
    <w:name w:val="HTML Cite"/>
    <w:basedOn w:val="26"/>
    <w:qFormat/>
    <w:uiPriority w:val="0"/>
  </w:style>
  <w:style w:type="character" w:styleId="35">
    <w:name w:val="HTML Keyboard"/>
    <w:basedOn w:val="26"/>
    <w:qFormat/>
    <w:uiPriority w:val="0"/>
    <w:rPr>
      <w:rFonts w:hint="default" w:ascii="Menlo" w:hAnsi="Menlo" w:eastAsia="Menlo" w:cs="Menlo"/>
      <w:color w:val="FFFFFF"/>
      <w:sz w:val="21"/>
      <w:szCs w:val="21"/>
      <w:shd w:val="clear" w:color="auto" w:fill="333333"/>
    </w:rPr>
  </w:style>
  <w:style w:type="character" w:styleId="36">
    <w:name w:val="HTML Sample"/>
    <w:basedOn w:val="26"/>
    <w:qFormat/>
    <w:uiPriority w:val="0"/>
    <w:rPr>
      <w:rFonts w:ascii="Menlo" w:hAnsi="Menlo" w:eastAsia="Menlo" w:cs="Menlo"/>
      <w:sz w:val="21"/>
      <w:szCs w:val="21"/>
    </w:rPr>
  </w:style>
  <w:style w:type="paragraph" w:customStyle="1" w:styleId="37">
    <w:name w:val="1正文"/>
    <w:basedOn w:val="22"/>
    <w:link w:val="137"/>
    <w:qFormat/>
    <w:uiPriority w:val="0"/>
    <w:pPr>
      <w:ind w:firstLine="880" w:firstLineChars="200"/>
    </w:pPr>
    <w:rPr>
      <w:rFonts w:ascii="Times New Roman" w:hAnsi="Times New Roman"/>
      <w:color w:val="000000"/>
    </w:rPr>
  </w:style>
  <w:style w:type="paragraph" w:customStyle="1" w:styleId="38">
    <w:name w:val="正文文本缩进1"/>
    <w:basedOn w:val="1"/>
    <w:qFormat/>
    <w:uiPriority w:val="0"/>
    <w:pPr>
      <w:widowControl w:val="0"/>
      <w:adjustRightInd/>
      <w:snapToGrid/>
      <w:spacing w:line="680" w:lineRule="exact"/>
      <w:ind w:firstLine="640" w:firstLineChars="200"/>
      <w:jc w:val="both"/>
    </w:pPr>
    <w:rPr>
      <w:rFonts w:ascii="仿宋_GB2312" w:hAnsi="Verdana" w:eastAsia="仿宋_GB2312"/>
      <w:b/>
      <w:sz w:val="32"/>
      <w:szCs w:val="24"/>
      <w:lang w:eastAsia="en-US"/>
    </w:rPr>
  </w:style>
  <w:style w:type="character" w:customStyle="1" w:styleId="39">
    <w:name w:val="price"/>
    <w:basedOn w:val="26"/>
    <w:qFormat/>
    <w:uiPriority w:val="0"/>
    <w:rPr>
      <w:b/>
      <w:color w:val="FF6600"/>
      <w:sz w:val="24"/>
      <w:szCs w:val="24"/>
    </w:rPr>
  </w:style>
  <w:style w:type="character" w:customStyle="1" w:styleId="40">
    <w:name w:val="price1"/>
    <w:basedOn w:val="26"/>
    <w:qFormat/>
    <w:uiPriority w:val="0"/>
    <w:rPr>
      <w:color w:val="FF6600"/>
    </w:rPr>
  </w:style>
  <w:style w:type="character" w:customStyle="1" w:styleId="41">
    <w:name w:val="price2"/>
    <w:basedOn w:val="26"/>
    <w:qFormat/>
    <w:uiPriority w:val="0"/>
    <w:rPr>
      <w:color w:val="FF6600"/>
    </w:rPr>
  </w:style>
  <w:style w:type="character" w:customStyle="1" w:styleId="42">
    <w:name w:val="back"/>
    <w:basedOn w:val="26"/>
    <w:qFormat/>
    <w:uiPriority w:val="0"/>
  </w:style>
  <w:style w:type="character" w:customStyle="1" w:styleId="43">
    <w:name w:val="close_alert"/>
    <w:basedOn w:val="26"/>
    <w:qFormat/>
    <w:uiPriority w:val="0"/>
    <w:rPr>
      <w:sz w:val="31"/>
      <w:szCs w:val="31"/>
    </w:rPr>
  </w:style>
  <w:style w:type="character" w:customStyle="1" w:styleId="44">
    <w:name w:val="scan_num"/>
    <w:basedOn w:val="26"/>
    <w:qFormat/>
    <w:uiPriority w:val="0"/>
    <w:rPr>
      <w:color w:val="999999"/>
      <w:sz w:val="18"/>
      <w:szCs w:val="18"/>
    </w:rPr>
  </w:style>
  <w:style w:type="character" w:customStyle="1" w:styleId="45">
    <w:name w:val="affix2"/>
    <w:basedOn w:val="26"/>
    <w:qFormat/>
    <w:uiPriority w:val="0"/>
    <w:rPr>
      <w:color w:val="666666"/>
      <w:sz w:val="24"/>
      <w:szCs w:val="24"/>
      <w:bdr w:val="single" w:color="DDDDDD" w:sz="6" w:space="0"/>
      <w:shd w:val="clear" w:color="auto" w:fill="E6F5FC"/>
    </w:rPr>
  </w:style>
  <w:style w:type="character" w:customStyle="1" w:styleId="46">
    <w:name w:val="server_c"/>
    <w:basedOn w:val="26"/>
    <w:qFormat/>
    <w:uiPriority w:val="0"/>
  </w:style>
  <w:style w:type="character" w:customStyle="1" w:styleId="47">
    <w:name w:val="blue"/>
    <w:basedOn w:val="26"/>
    <w:qFormat/>
    <w:uiPriority w:val="0"/>
    <w:rPr>
      <w:color w:val="539FD1"/>
    </w:rPr>
  </w:style>
  <w:style w:type="character" w:customStyle="1" w:styleId="48">
    <w:name w:val="half_star"/>
    <w:basedOn w:val="26"/>
    <w:qFormat/>
    <w:uiPriority w:val="0"/>
  </w:style>
  <w:style w:type="character" w:customStyle="1" w:styleId="49">
    <w:name w:val="difference"/>
    <w:basedOn w:val="26"/>
    <w:qFormat/>
    <w:uiPriority w:val="0"/>
    <w:rPr>
      <w:color w:val="FF6600"/>
      <w:sz w:val="27"/>
      <w:szCs w:val="27"/>
    </w:rPr>
  </w:style>
  <w:style w:type="character" w:customStyle="1" w:styleId="50">
    <w:name w:val="close9"/>
    <w:basedOn w:val="26"/>
    <w:qFormat/>
    <w:uiPriority w:val="0"/>
    <w:rPr>
      <w:b/>
      <w:sz w:val="39"/>
      <w:szCs w:val="39"/>
    </w:rPr>
  </w:style>
  <w:style w:type="character" w:customStyle="1" w:styleId="51">
    <w:name w:val="close10"/>
    <w:basedOn w:val="26"/>
    <w:qFormat/>
    <w:uiPriority w:val="0"/>
    <w:rPr>
      <w:b/>
      <w:color w:val="DDDDDD"/>
      <w:sz w:val="54"/>
      <w:szCs w:val="54"/>
    </w:rPr>
  </w:style>
  <w:style w:type="character" w:customStyle="1" w:styleId="52">
    <w:name w:val="close11"/>
    <w:basedOn w:val="26"/>
    <w:qFormat/>
    <w:uiPriority w:val="0"/>
    <w:rPr>
      <w:b/>
      <w:color w:val="DDDDDD"/>
      <w:sz w:val="57"/>
      <w:szCs w:val="57"/>
    </w:rPr>
  </w:style>
  <w:style w:type="character" w:customStyle="1" w:styleId="53">
    <w:name w:val="close12"/>
    <w:basedOn w:val="26"/>
    <w:qFormat/>
    <w:uiPriority w:val="0"/>
    <w:rPr>
      <w:b/>
      <w:color w:val="DDDDDD"/>
      <w:sz w:val="57"/>
      <w:szCs w:val="57"/>
    </w:rPr>
  </w:style>
  <w:style w:type="character" w:customStyle="1" w:styleId="54">
    <w:name w:val="sel"/>
    <w:basedOn w:val="26"/>
    <w:qFormat/>
    <w:uiPriority w:val="0"/>
    <w:rPr>
      <w:bdr w:val="single" w:color="FF6600" w:sz="6" w:space="0"/>
    </w:rPr>
  </w:style>
  <w:style w:type="character" w:customStyle="1" w:styleId="55">
    <w:name w:val="message_alert"/>
    <w:basedOn w:val="26"/>
    <w:qFormat/>
    <w:uiPriority w:val="0"/>
    <w:rPr>
      <w:color w:val="999999"/>
      <w:sz w:val="18"/>
      <w:szCs w:val="18"/>
    </w:rPr>
  </w:style>
  <w:style w:type="character" w:customStyle="1" w:styleId="56">
    <w:name w:val="message_alert1"/>
    <w:basedOn w:val="26"/>
    <w:qFormat/>
    <w:uiPriority w:val="0"/>
    <w:rPr>
      <w:color w:val="999999"/>
      <w:sz w:val="18"/>
      <w:szCs w:val="18"/>
    </w:rPr>
  </w:style>
  <w:style w:type="character" w:customStyle="1" w:styleId="57">
    <w:name w:val="error3"/>
    <w:basedOn w:val="26"/>
    <w:qFormat/>
    <w:uiPriority w:val="0"/>
    <w:rPr>
      <w:vanish/>
      <w:color w:val="FF0101"/>
      <w:sz w:val="21"/>
      <w:szCs w:val="21"/>
    </w:rPr>
  </w:style>
  <w:style w:type="character" w:customStyle="1" w:styleId="58">
    <w:name w:val="error4"/>
    <w:basedOn w:val="26"/>
    <w:qFormat/>
    <w:uiPriority w:val="0"/>
    <w:rPr>
      <w:vanish/>
      <w:color w:val="FF0101"/>
      <w:sz w:val="19"/>
      <w:szCs w:val="19"/>
    </w:rPr>
  </w:style>
  <w:style w:type="character" w:customStyle="1" w:styleId="59">
    <w:name w:val="error5"/>
    <w:basedOn w:val="26"/>
    <w:qFormat/>
    <w:uiPriority w:val="0"/>
    <w:rPr>
      <w:vanish/>
      <w:color w:val="FF6600"/>
      <w:sz w:val="18"/>
      <w:szCs w:val="18"/>
    </w:rPr>
  </w:style>
  <w:style w:type="character" w:customStyle="1" w:styleId="60">
    <w:name w:val="save_draft"/>
    <w:basedOn w:val="26"/>
    <w:qFormat/>
    <w:uiPriority w:val="0"/>
    <w:rPr>
      <w:vanish/>
      <w:color w:val="FF9900"/>
      <w:sz w:val="25"/>
      <w:szCs w:val="25"/>
    </w:rPr>
  </w:style>
  <w:style w:type="character" w:customStyle="1" w:styleId="61">
    <w:name w:val="r-span"/>
    <w:basedOn w:val="26"/>
    <w:qFormat/>
    <w:uiPriority w:val="0"/>
    <w:rPr>
      <w:color w:val="666666"/>
    </w:rPr>
  </w:style>
  <w:style w:type="character" w:customStyle="1" w:styleId="62">
    <w:name w:val="r-span1"/>
    <w:basedOn w:val="26"/>
    <w:qFormat/>
    <w:uiPriority w:val="0"/>
    <w:rPr>
      <w:color w:val="333333"/>
    </w:rPr>
  </w:style>
  <w:style w:type="character" w:customStyle="1" w:styleId="63">
    <w:name w:val="l-span"/>
    <w:basedOn w:val="26"/>
    <w:qFormat/>
    <w:uiPriority w:val="0"/>
  </w:style>
  <w:style w:type="character" w:customStyle="1" w:styleId="64">
    <w:name w:val="l-span1"/>
    <w:basedOn w:val="26"/>
    <w:qFormat/>
    <w:uiPriority w:val="0"/>
  </w:style>
  <w:style w:type="character" w:customStyle="1" w:styleId="65">
    <w:name w:val="odd1"/>
    <w:basedOn w:val="26"/>
    <w:qFormat/>
    <w:uiPriority w:val="0"/>
    <w:rPr>
      <w:color w:val="333333"/>
    </w:rPr>
  </w:style>
  <w:style w:type="character" w:customStyle="1" w:styleId="66">
    <w:name w:val="img"/>
    <w:basedOn w:val="26"/>
    <w:qFormat/>
    <w:uiPriority w:val="0"/>
  </w:style>
  <w:style w:type="character" w:customStyle="1" w:styleId="67">
    <w:name w:val="img1"/>
    <w:basedOn w:val="26"/>
    <w:qFormat/>
    <w:uiPriority w:val="0"/>
  </w:style>
  <w:style w:type="character" w:customStyle="1" w:styleId="68">
    <w:name w:val="img_close"/>
    <w:basedOn w:val="26"/>
    <w:qFormat/>
    <w:uiPriority w:val="0"/>
    <w:rPr>
      <w:color w:val="000000"/>
      <w:sz w:val="63"/>
      <w:szCs w:val="63"/>
    </w:rPr>
  </w:style>
  <w:style w:type="character" w:customStyle="1" w:styleId="69">
    <w:name w:val="ftx-03"/>
    <w:basedOn w:val="26"/>
    <w:qFormat/>
    <w:uiPriority w:val="0"/>
    <w:rPr>
      <w:color w:val="666666"/>
      <w:sz w:val="19"/>
      <w:szCs w:val="19"/>
    </w:rPr>
  </w:style>
  <w:style w:type="character" w:customStyle="1" w:styleId="70">
    <w:name w:val="state"/>
    <w:basedOn w:val="26"/>
    <w:qFormat/>
    <w:uiPriority w:val="0"/>
    <w:rPr>
      <w:color w:val="666666"/>
      <w:sz w:val="21"/>
      <w:szCs w:val="21"/>
    </w:rPr>
  </w:style>
  <w:style w:type="character" w:customStyle="1" w:styleId="71">
    <w:name w:val="fl6"/>
    <w:basedOn w:val="26"/>
    <w:qFormat/>
    <w:uiPriority w:val="0"/>
    <w:rPr>
      <w:color w:val="333333"/>
      <w:sz w:val="24"/>
      <w:szCs w:val="24"/>
    </w:rPr>
  </w:style>
  <w:style w:type="character" w:customStyle="1" w:styleId="72">
    <w:name w:val="fl7"/>
    <w:basedOn w:val="26"/>
    <w:qFormat/>
    <w:uiPriority w:val="0"/>
  </w:style>
  <w:style w:type="character" w:customStyle="1" w:styleId="73">
    <w:name w:val="fl8"/>
    <w:basedOn w:val="26"/>
    <w:qFormat/>
    <w:uiPriority w:val="0"/>
  </w:style>
  <w:style w:type="character" w:customStyle="1" w:styleId="74">
    <w:name w:val="num"/>
    <w:basedOn w:val="26"/>
    <w:qFormat/>
    <w:uiPriority w:val="0"/>
    <w:rPr>
      <w:color w:val="FF6600"/>
      <w:sz w:val="24"/>
      <w:szCs w:val="24"/>
    </w:rPr>
  </w:style>
  <w:style w:type="character" w:customStyle="1" w:styleId="75">
    <w:name w:val="vote-star"/>
    <w:basedOn w:val="26"/>
    <w:qFormat/>
    <w:uiPriority w:val="0"/>
  </w:style>
  <w:style w:type="character" w:customStyle="1" w:styleId="76">
    <w:name w:val="star_gray"/>
    <w:basedOn w:val="26"/>
    <w:qFormat/>
    <w:uiPriority w:val="0"/>
  </w:style>
  <w:style w:type="character" w:customStyle="1" w:styleId="77">
    <w:name w:val="content2"/>
    <w:basedOn w:val="26"/>
    <w:qFormat/>
    <w:uiPriority w:val="0"/>
    <w:rPr>
      <w:color w:val="888888"/>
      <w:sz w:val="22"/>
      <w:szCs w:val="22"/>
    </w:rPr>
  </w:style>
  <w:style w:type="character" w:customStyle="1" w:styleId="78">
    <w:name w:val="color-orange2"/>
    <w:basedOn w:val="26"/>
    <w:qFormat/>
    <w:uiPriority w:val="0"/>
    <w:rPr>
      <w:color w:val="FF6600"/>
    </w:rPr>
  </w:style>
  <w:style w:type="character" w:customStyle="1" w:styleId="79">
    <w:name w:val="money8"/>
    <w:basedOn w:val="26"/>
    <w:qFormat/>
    <w:uiPriority w:val="0"/>
    <w:rPr>
      <w:color w:val="FF6600"/>
      <w:sz w:val="33"/>
      <w:szCs w:val="33"/>
    </w:rPr>
  </w:style>
  <w:style w:type="character" w:customStyle="1" w:styleId="80">
    <w:name w:val="order-number"/>
    <w:basedOn w:val="26"/>
    <w:qFormat/>
    <w:uiPriority w:val="0"/>
    <w:rPr>
      <w:sz w:val="21"/>
      <w:szCs w:val="21"/>
    </w:rPr>
  </w:style>
  <w:style w:type="character" w:customStyle="1" w:styleId="81">
    <w:name w:val="tb28"/>
    <w:basedOn w:val="26"/>
    <w:qFormat/>
    <w:uiPriority w:val="0"/>
  </w:style>
  <w:style w:type="character" w:customStyle="1" w:styleId="82">
    <w:name w:val="tb29"/>
    <w:basedOn w:val="26"/>
    <w:qFormat/>
    <w:uiPriority w:val="0"/>
  </w:style>
  <w:style w:type="character" w:customStyle="1" w:styleId="83">
    <w:name w:val="count_down"/>
    <w:basedOn w:val="26"/>
    <w:qFormat/>
    <w:uiPriority w:val="0"/>
    <w:rPr>
      <w:color w:val="333333"/>
      <w:sz w:val="19"/>
      <w:szCs w:val="19"/>
    </w:rPr>
  </w:style>
  <w:style w:type="character" w:customStyle="1" w:styleId="84">
    <w:name w:val="tab"/>
    <w:basedOn w:val="26"/>
    <w:qFormat/>
    <w:uiPriority w:val="0"/>
    <w:rPr>
      <w:color w:val="B0B0B0"/>
    </w:rPr>
  </w:style>
  <w:style w:type="character" w:customStyle="1" w:styleId="85">
    <w:name w:val="fontborder"/>
    <w:basedOn w:val="26"/>
    <w:qFormat/>
    <w:uiPriority w:val="0"/>
    <w:rPr>
      <w:bdr w:val="single" w:color="000000" w:sz="6" w:space="0"/>
    </w:rPr>
  </w:style>
  <w:style w:type="character" w:customStyle="1" w:styleId="86">
    <w:name w:val="fontstrikethrough"/>
    <w:basedOn w:val="26"/>
    <w:qFormat/>
    <w:uiPriority w:val="0"/>
    <w:rPr>
      <w:strike/>
    </w:rPr>
  </w:style>
  <w:style w:type="character" w:customStyle="1" w:styleId="87">
    <w:name w:val="failed"/>
    <w:basedOn w:val="26"/>
    <w:qFormat/>
    <w:uiPriority w:val="0"/>
  </w:style>
  <w:style w:type="character" w:customStyle="1" w:styleId="88">
    <w:name w:val="success"/>
    <w:basedOn w:val="26"/>
    <w:qFormat/>
    <w:uiPriority w:val="0"/>
  </w:style>
  <w:style w:type="character" w:customStyle="1" w:styleId="89">
    <w:name w:val="success1"/>
    <w:basedOn w:val="26"/>
    <w:qFormat/>
    <w:uiPriority w:val="0"/>
  </w:style>
  <w:style w:type="character" w:customStyle="1" w:styleId="90">
    <w:name w:val="copyright"/>
    <w:basedOn w:val="26"/>
    <w:qFormat/>
    <w:uiPriority w:val="0"/>
  </w:style>
  <w:style w:type="character" w:customStyle="1" w:styleId="91">
    <w:name w:val="icon"/>
    <w:basedOn w:val="26"/>
    <w:qFormat/>
    <w:uiPriority w:val="0"/>
    <w:rPr>
      <w:shd w:val="clear" w:color="auto" w:fill="FFFFFF"/>
    </w:rPr>
  </w:style>
  <w:style w:type="character" w:customStyle="1" w:styleId="92">
    <w:name w:val="icon1"/>
    <w:basedOn w:val="26"/>
    <w:qFormat/>
    <w:uiPriority w:val="0"/>
  </w:style>
  <w:style w:type="character" w:customStyle="1" w:styleId="93">
    <w:name w:val="text-title"/>
    <w:basedOn w:val="26"/>
    <w:qFormat/>
    <w:uiPriority w:val="0"/>
    <w:rPr>
      <w:color w:val="CCCCCC"/>
      <w:shd w:val="clear" w:color="auto" w:fill="FFFFFF"/>
    </w:rPr>
  </w:style>
  <w:style w:type="character" w:customStyle="1" w:styleId="94">
    <w:name w:val="icon-password"/>
    <w:basedOn w:val="26"/>
    <w:qFormat/>
    <w:uiPriority w:val="0"/>
  </w:style>
  <w:style w:type="character" w:customStyle="1" w:styleId="95">
    <w:name w:val="captcha-result"/>
    <w:basedOn w:val="26"/>
    <w:qFormat/>
    <w:uiPriority w:val="0"/>
  </w:style>
  <w:style w:type="character" w:customStyle="1" w:styleId="96">
    <w:name w:val="icon-account"/>
    <w:basedOn w:val="26"/>
    <w:qFormat/>
    <w:uiPriority w:val="0"/>
  </w:style>
  <w:style w:type="character" w:customStyle="1" w:styleId="97">
    <w:name w:val="rotate-tag"/>
    <w:basedOn w:val="26"/>
    <w:qFormat/>
    <w:uiPriority w:val="0"/>
    <w:rPr>
      <w:shd w:val="clear" w:color="auto" w:fill="FFFFFF"/>
    </w:rPr>
  </w:style>
  <w:style w:type="character" w:customStyle="1" w:styleId="98">
    <w:name w:val="rotate-tag1"/>
    <w:basedOn w:val="26"/>
    <w:qFormat/>
    <w:uiPriority w:val="0"/>
    <w:rPr>
      <w:shd w:val="clear" w:color="auto" w:fill="FFFFFF"/>
    </w:rPr>
  </w:style>
  <w:style w:type="character" w:customStyle="1" w:styleId="99">
    <w:name w:val="icon-box"/>
    <w:basedOn w:val="26"/>
    <w:qFormat/>
    <w:uiPriority w:val="0"/>
  </w:style>
  <w:style w:type="character" w:customStyle="1" w:styleId="100">
    <w:name w:val="error"/>
    <w:basedOn w:val="26"/>
    <w:qFormat/>
    <w:uiPriority w:val="0"/>
  </w:style>
  <w:style w:type="character" w:customStyle="1" w:styleId="101">
    <w:name w:val="alerts"/>
    <w:basedOn w:val="26"/>
    <w:qFormat/>
    <w:uiPriority w:val="0"/>
  </w:style>
  <w:style w:type="character" w:customStyle="1" w:styleId="102">
    <w:name w:val="bg"/>
    <w:basedOn w:val="26"/>
    <w:qFormat/>
    <w:uiPriority w:val="0"/>
  </w:style>
  <w:style w:type="paragraph" w:customStyle="1" w:styleId="103">
    <w:name w:val="abstract"/>
    <w:basedOn w:val="1"/>
    <w:qFormat/>
    <w:uiPriority w:val="0"/>
    <w:rPr>
      <w:color w:val="666666"/>
    </w:rPr>
  </w:style>
  <w:style w:type="character" w:customStyle="1" w:styleId="104">
    <w:name w:val="hover23"/>
    <w:basedOn w:val="26"/>
    <w:qFormat/>
    <w:uiPriority w:val="0"/>
    <w:rPr>
      <w:color w:val="315EFB"/>
    </w:rPr>
  </w:style>
  <w:style w:type="character" w:customStyle="1" w:styleId="105">
    <w:name w:val="hover24"/>
    <w:basedOn w:val="26"/>
    <w:qFormat/>
    <w:uiPriority w:val="0"/>
  </w:style>
  <w:style w:type="character" w:customStyle="1" w:styleId="106">
    <w:name w:val="c-icon28"/>
    <w:basedOn w:val="26"/>
    <w:qFormat/>
    <w:uiPriority w:val="0"/>
  </w:style>
  <w:style w:type="character" w:customStyle="1" w:styleId="107">
    <w:name w:val="one"/>
    <w:basedOn w:val="26"/>
    <w:qFormat/>
    <w:uiPriority w:val="0"/>
    <w:rPr>
      <w:color w:val="003366"/>
    </w:rPr>
  </w:style>
  <w:style w:type="character" w:customStyle="1" w:styleId="108">
    <w:name w:val="morelink"/>
    <w:basedOn w:val="26"/>
    <w:qFormat/>
    <w:uiPriority w:val="0"/>
    <w:rPr>
      <w:sz w:val="18"/>
      <w:szCs w:val="18"/>
    </w:rPr>
  </w:style>
  <w:style w:type="character" w:customStyle="1" w:styleId="109">
    <w:name w:val="line"/>
    <w:basedOn w:val="26"/>
    <w:qFormat/>
    <w:uiPriority w:val="0"/>
    <w:rPr>
      <w:color w:val="666666"/>
    </w:rPr>
  </w:style>
  <w:style w:type="character" w:customStyle="1" w:styleId="110">
    <w:name w:val="line1"/>
    <w:basedOn w:val="26"/>
    <w:qFormat/>
    <w:uiPriority w:val="0"/>
    <w:rPr>
      <w:color w:val="666666"/>
    </w:rPr>
  </w:style>
  <w:style w:type="character" w:customStyle="1" w:styleId="111">
    <w:name w:val="line2"/>
    <w:basedOn w:val="26"/>
    <w:qFormat/>
    <w:uiPriority w:val="0"/>
    <w:rPr>
      <w:color w:val="CCCCCC"/>
    </w:rPr>
  </w:style>
  <w:style w:type="character" w:customStyle="1" w:styleId="112">
    <w:name w:val="sep"/>
    <w:basedOn w:val="26"/>
    <w:qFormat/>
    <w:uiPriority w:val="0"/>
    <w:rPr>
      <w:sz w:val="1"/>
      <w:szCs w:val="1"/>
    </w:rPr>
  </w:style>
  <w:style w:type="character" w:customStyle="1" w:styleId="113">
    <w:name w:val="sep1"/>
    <w:basedOn w:val="26"/>
    <w:qFormat/>
    <w:uiPriority w:val="0"/>
    <w:rPr>
      <w:sz w:val="1"/>
      <w:szCs w:val="1"/>
    </w:rPr>
  </w:style>
  <w:style w:type="character" w:customStyle="1" w:styleId="114">
    <w:name w:val="sep2"/>
    <w:basedOn w:val="26"/>
    <w:qFormat/>
    <w:uiPriority w:val="0"/>
    <w:rPr>
      <w:sz w:val="1"/>
      <w:szCs w:val="1"/>
    </w:rPr>
  </w:style>
  <w:style w:type="character" w:customStyle="1" w:styleId="115">
    <w:name w:val="sep3"/>
    <w:basedOn w:val="26"/>
    <w:qFormat/>
    <w:uiPriority w:val="0"/>
    <w:rPr>
      <w:sz w:val="1"/>
      <w:szCs w:val="1"/>
    </w:rPr>
  </w:style>
  <w:style w:type="character" w:customStyle="1" w:styleId="116">
    <w:name w:val="bsharetext"/>
    <w:basedOn w:val="26"/>
    <w:qFormat/>
    <w:uiPriority w:val="0"/>
  </w:style>
  <w:style w:type="paragraph" w:customStyle="1" w:styleId="117">
    <w:name w:val="标记"/>
    <w:basedOn w:val="7"/>
    <w:qFormat/>
    <w:uiPriority w:val="0"/>
    <w:pPr>
      <w:ind w:firstLine="0" w:firstLineChars="0"/>
    </w:pPr>
  </w:style>
  <w:style w:type="paragraph" w:customStyle="1" w:styleId="118">
    <w:name w:val="Style2"/>
    <w:basedOn w:val="1"/>
    <w:qFormat/>
    <w:uiPriority w:val="0"/>
    <w:pPr>
      <w:spacing w:line="600" w:lineRule="exact"/>
      <w:ind w:firstLine="619"/>
    </w:pPr>
    <w:rPr>
      <w:rFonts w:ascii="黑体" w:eastAsia="黑体"/>
      <w:sz w:val="24"/>
    </w:rPr>
  </w:style>
  <w:style w:type="character" w:customStyle="1" w:styleId="119">
    <w:name w:val="Font Style13"/>
    <w:qFormat/>
    <w:uiPriority w:val="0"/>
    <w:rPr>
      <w:rFonts w:ascii="黑体" w:hAnsi="Verdana" w:eastAsia="黑体" w:cs="黑体"/>
      <w:b/>
      <w:kern w:val="0"/>
      <w:sz w:val="28"/>
      <w:szCs w:val="28"/>
      <w:lang w:eastAsia="en-US"/>
    </w:rPr>
  </w:style>
  <w:style w:type="character" w:customStyle="1" w:styleId="120">
    <w:name w:val="Font Style14"/>
    <w:qFormat/>
    <w:uiPriority w:val="0"/>
    <w:rPr>
      <w:rFonts w:ascii="黑体" w:hAnsi="Verdana" w:eastAsia="黑体" w:cs="黑体"/>
      <w:b/>
      <w:bCs/>
      <w:w w:val="60"/>
      <w:kern w:val="0"/>
      <w:sz w:val="38"/>
      <w:szCs w:val="38"/>
      <w:lang w:eastAsia="en-US"/>
    </w:rPr>
  </w:style>
  <w:style w:type="character" w:customStyle="1" w:styleId="121">
    <w:name w:val="Font Style15"/>
    <w:qFormat/>
    <w:uiPriority w:val="0"/>
    <w:rPr>
      <w:rFonts w:hint="eastAsia" w:ascii="黑体" w:hAnsi="黑体" w:eastAsia="黑体" w:cs="黑体"/>
      <w:b/>
      <w:spacing w:val="40"/>
      <w:kern w:val="0"/>
      <w:sz w:val="26"/>
      <w:szCs w:val="26"/>
      <w:lang w:eastAsia="en-US"/>
    </w:rPr>
  </w:style>
  <w:style w:type="character" w:customStyle="1" w:styleId="122">
    <w:name w:val="Font Style16"/>
    <w:qFormat/>
    <w:uiPriority w:val="0"/>
    <w:rPr>
      <w:rFonts w:ascii="MingLiU" w:hAnsi="Verdana" w:eastAsia="MingLiU" w:cs="MingLiU"/>
      <w:b/>
      <w:spacing w:val="40"/>
      <w:kern w:val="0"/>
      <w:sz w:val="26"/>
      <w:szCs w:val="26"/>
      <w:lang w:eastAsia="en-US"/>
    </w:rPr>
  </w:style>
  <w:style w:type="character" w:customStyle="1" w:styleId="123">
    <w:name w:val="批注框文本 Char"/>
    <w:basedOn w:val="26"/>
    <w:link w:val="14"/>
    <w:qFormat/>
    <w:uiPriority w:val="0"/>
    <w:rPr>
      <w:rFonts w:ascii="Tahoma" w:hAnsi="Tahoma"/>
      <w:sz w:val="18"/>
      <w:szCs w:val="18"/>
    </w:rPr>
  </w:style>
  <w:style w:type="character" w:customStyle="1" w:styleId="124">
    <w:name w:val="页脚 Char"/>
    <w:basedOn w:val="26"/>
    <w:link w:val="15"/>
    <w:qFormat/>
    <w:uiPriority w:val="99"/>
    <w:rPr>
      <w:rFonts w:ascii="Tahoma" w:hAnsi="Tahoma"/>
      <w:sz w:val="18"/>
      <w:szCs w:val="22"/>
    </w:rPr>
  </w:style>
  <w:style w:type="character" w:customStyle="1" w:styleId="125">
    <w:name w:val="NormalCharacter"/>
    <w:qFormat/>
    <w:uiPriority w:val="0"/>
  </w:style>
  <w:style w:type="paragraph" w:customStyle="1" w:styleId="126">
    <w:name w:val="列出段落1"/>
    <w:basedOn w:val="1"/>
    <w:qFormat/>
    <w:uiPriority w:val="99"/>
    <w:pPr>
      <w:ind w:firstLine="420" w:firstLineChars="200"/>
    </w:pPr>
  </w:style>
  <w:style w:type="character" w:customStyle="1" w:styleId="127">
    <w:name w:val="Font Style11"/>
    <w:qFormat/>
    <w:uiPriority w:val="0"/>
    <w:rPr>
      <w:rFonts w:ascii="Georgia" w:hAnsi="Georgia" w:eastAsia="仿宋_GB2312" w:cs="Georgia"/>
      <w:b/>
      <w:bCs/>
      <w:kern w:val="0"/>
      <w:sz w:val="14"/>
      <w:szCs w:val="14"/>
      <w:lang w:eastAsia="en-US"/>
    </w:rPr>
  </w:style>
  <w:style w:type="paragraph" w:customStyle="1" w:styleId="128">
    <w:name w:val="列出段落2"/>
    <w:basedOn w:val="1"/>
    <w:unhideWhenUsed/>
    <w:qFormat/>
    <w:uiPriority w:val="99"/>
    <w:pPr>
      <w:ind w:firstLine="420" w:firstLineChars="200"/>
    </w:pPr>
  </w:style>
  <w:style w:type="character" w:customStyle="1" w:styleId="129">
    <w:name w:val="标题 3 Char"/>
    <w:link w:val="5"/>
    <w:qFormat/>
    <w:uiPriority w:val="0"/>
    <w:rPr>
      <w:rFonts w:ascii="仿宋" w:hAnsi="仿宋" w:eastAsia="仿宋"/>
      <w:b/>
      <w:bCs/>
      <w:sz w:val="32"/>
      <w:szCs w:val="32"/>
    </w:rPr>
  </w:style>
  <w:style w:type="character" w:customStyle="1" w:styleId="130">
    <w:name w:val="标题 2 Char"/>
    <w:basedOn w:val="26"/>
    <w:link w:val="4"/>
    <w:qFormat/>
    <w:uiPriority w:val="9"/>
    <w:rPr>
      <w:rFonts w:ascii="楷体_GB2312" w:hAnsi="楷体" w:eastAsia="楷体_GB2312" w:cstheme="majorBidi"/>
      <w:b/>
      <w:bCs/>
      <w:sz w:val="32"/>
      <w:szCs w:val="32"/>
      <w:lang w:bidi="mn-Mong-CN"/>
    </w:rPr>
  </w:style>
  <w:style w:type="character" w:customStyle="1" w:styleId="131">
    <w:name w:val="正文文本缩进 Char"/>
    <w:basedOn w:val="26"/>
    <w:link w:val="10"/>
    <w:qFormat/>
    <w:uiPriority w:val="0"/>
    <w:rPr>
      <w:rFonts w:ascii="宋体" w:hAnsi="Tahoma"/>
      <w:sz w:val="32"/>
      <w:szCs w:val="32"/>
    </w:rPr>
  </w:style>
  <w:style w:type="paragraph" w:customStyle="1" w:styleId="132">
    <w:name w:val="Body text|1"/>
    <w:basedOn w:val="1"/>
    <w:qFormat/>
    <w:uiPriority w:val="0"/>
    <w:pPr>
      <w:widowControl w:val="0"/>
      <w:spacing w:line="403" w:lineRule="auto"/>
      <w:ind w:firstLine="200" w:firstLineChars="200"/>
      <w:jc w:val="both"/>
    </w:pPr>
    <w:rPr>
      <w:rFonts w:ascii="宋体" w:hAnsi="宋体" w:cs="宋体"/>
      <w:kern w:val="2"/>
      <w:sz w:val="32"/>
      <w:szCs w:val="32"/>
      <w:lang w:val="zh-TW" w:eastAsia="zh-TW"/>
    </w:rPr>
  </w:style>
  <w:style w:type="paragraph" w:customStyle="1" w:styleId="133">
    <w:name w:val="修订1"/>
    <w:hidden/>
    <w:unhideWhenUsed/>
    <w:qFormat/>
    <w:uiPriority w:val="99"/>
    <w:rPr>
      <w:rFonts w:ascii="Tahoma" w:hAnsi="Tahoma" w:eastAsia="宋体" w:cs="Times New Roman"/>
      <w:sz w:val="22"/>
      <w:szCs w:val="22"/>
      <w:lang w:val="en-US" w:eastAsia="zh-CN" w:bidi="ar-SA"/>
    </w:rPr>
  </w:style>
  <w:style w:type="paragraph" w:customStyle="1" w:styleId="134">
    <w:name w:val="样式1"/>
    <w:basedOn w:val="37"/>
    <w:link w:val="138"/>
    <w:qFormat/>
    <w:uiPriority w:val="0"/>
    <w:pPr>
      <w:widowControl w:val="0"/>
      <w:spacing w:before="0" w:beforeAutospacing="0" w:after="0" w:afterAutospacing="0" w:line="640" w:lineRule="exact"/>
      <w:ind w:firstLine="480"/>
      <w:jc w:val="both"/>
    </w:pPr>
    <w:rPr>
      <w:rFonts w:asciiTheme="minorEastAsia" w:hAnsiTheme="minorEastAsia" w:eastAsiaTheme="minorEastAsia" w:cstheme="minorEastAsia"/>
      <w:bCs/>
      <w:color w:val="000000" w:themeColor="text1"/>
      <w:szCs w:val="24"/>
    </w:rPr>
  </w:style>
  <w:style w:type="paragraph" w:customStyle="1" w:styleId="135">
    <w:name w:val="样式20"/>
    <w:basedOn w:val="23"/>
    <w:link w:val="140"/>
    <w:qFormat/>
    <w:uiPriority w:val="0"/>
    <w:pPr>
      <w:widowControl w:val="0"/>
      <w:spacing w:line="360" w:lineRule="auto"/>
      <w:ind w:firstLine="480"/>
      <w:jc w:val="both"/>
    </w:pPr>
    <w:rPr>
      <w:rFonts w:asciiTheme="minorEastAsia" w:hAnsiTheme="minorEastAsia" w:eastAsiaTheme="minorEastAsia" w:cstheme="minorEastAsia"/>
      <w:bCs/>
      <w:color w:val="000000" w:themeColor="text1"/>
      <w:sz w:val="24"/>
      <w:szCs w:val="24"/>
    </w:rPr>
  </w:style>
  <w:style w:type="character" w:customStyle="1" w:styleId="136">
    <w:name w:val="普通(网站) Char"/>
    <w:basedOn w:val="26"/>
    <w:link w:val="22"/>
    <w:qFormat/>
    <w:uiPriority w:val="0"/>
    <w:rPr>
      <w:rFonts w:ascii="Calibri" w:hAnsi="Calibri"/>
      <w:sz w:val="24"/>
      <w:szCs w:val="22"/>
    </w:rPr>
  </w:style>
  <w:style w:type="character" w:customStyle="1" w:styleId="137">
    <w:name w:val="1正文 Char"/>
    <w:basedOn w:val="136"/>
    <w:link w:val="37"/>
    <w:qFormat/>
    <w:uiPriority w:val="0"/>
    <w:rPr>
      <w:rFonts w:ascii="Calibri" w:hAnsi="Calibri"/>
      <w:color w:val="000000"/>
      <w:sz w:val="24"/>
      <w:szCs w:val="22"/>
    </w:rPr>
  </w:style>
  <w:style w:type="character" w:customStyle="1" w:styleId="138">
    <w:name w:val="样式1 Char"/>
    <w:basedOn w:val="137"/>
    <w:link w:val="134"/>
    <w:qFormat/>
    <w:uiPriority w:val="0"/>
    <w:rPr>
      <w:rFonts w:asciiTheme="minorEastAsia" w:hAnsiTheme="minorEastAsia" w:eastAsiaTheme="minorEastAsia" w:cstheme="minorEastAsia"/>
      <w:bCs/>
      <w:color w:val="000000" w:themeColor="text1"/>
      <w:sz w:val="24"/>
      <w:szCs w:val="24"/>
    </w:rPr>
  </w:style>
  <w:style w:type="character" w:customStyle="1" w:styleId="139">
    <w:name w:val="正文首行缩进 2 Char"/>
    <w:basedOn w:val="131"/>
    <w:link w:val="23"/>
    <w:qFormat/>
    <w:uiPriority w:val="0"/>
    <w:rPr>
      <w:rFonts w:ascii="宋体" w:hAnsi="Tahoma"/>
      <w:sz w:val="32"/>
      <w:szCs w:val="32"/>
    </w:rPr>
  </w:style>
  <w:style w:type="character" w:customStyle="1" w:styleId="140">
    <w:name w:val="样式20 Char"/>
    <w:basedOn w:val="139"/>
    <w:link w:val="135"/>
    <w:qFormat/>
    <w:uiPriority w:val="0"/>
    <w:rPr>
      <w:rFonts w:asciiTheme="minorEastAsia" w:hAnsiTheme="minorEastAsia" w:eastAsiaTheme="minorEastAsia" w:cstheme="minorEastAsia"/>
      <w:bCs/>
      <w:color w:val="000000" w:themeColor="text1"/>
      <w:sz w:val="24"/>
      <w:szCs w:val="24"/>
    </w:rPr>
  </w:style>
  <w:style w:type="paragraph" w:styleId="141">
    <w:name w:val="List Paragraph"/>
    <w:basedOn w:val="1"/>
    <w:unhideWhenUsed/>
    <w:qFormat/>
    <w:uiPriority w:val="99"/>
    <w:pPr>
      <w:ind w:firstLine="420" w:firstLineChars="200"/>
    </w:pPr>
  </w:style>
  <w:style w:type="character" w:customStyle="1" w:styleId="142">
    <w:name w:val="文档结构图 Char"/>
    <w:basedOn w:val="26"/>
    <w:link w:val="8"/>
    <w:semiHidden/>
    <w:qFormat/>
    <w:uiPriority w:val="0"/>
    <w:rPr>
      <w:rFonts w:ascii="宋体"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OEMGHOST</Company>
  <Pages>122</Pages>
  <Words>18952</Words>
  <Characters>19300</Characters>
  <Lines>448</Lines>
  <Paragraphs>126</Paragraphs>
  <TotalTime>127</TotalTime>
  <ScaleCrop>false</ScaleCrop>
  <LinksUpToDate>false</LinksUpToDate>
  <CharactersWithSpaces>19516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2021-03-03T01:53:00Z</dcterms:created>
  <dc:creator>63888</dc:creator>
  <cp:lastModifiedBy>尧南</cp:lastModifiedBy>
  <cp:lastPrinted>2021-03-03T10:04:00Z</cp:lastPrinted>
  <dcterms:modified xsi:type="dcterms:W3CDTF">2024-11-26T13:01:58Z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292D49250F6B41EB9A8BBE75407B4379</vt:lpwstr>
  </property>
</Properties>
</file>